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CD2EF" w14:textId="77777777" w:rsidR="00016F1B" w:rsidRPr="007823AD" w:rsidRDefault="00016F1B" w:rsidP="00016F1B">
      <w:pPr>
        <w:jc w:val="center"/>
        <w:rPr>
          <w:b/>
          <w:iCs/>
          <w:sz w:val="28"/>
          <w:szCs w:val="28"/>
          <w:lang w:val="ro-RO"/>
        </w:rPr>
      </w:pPr>
      <w:r w:rsidRPr="007823AD">
        <w:rPr>
          <w:b/>
          <w:iCs/>
          <w:sz w:val="28"/>
          <w:szCs w:val="28"/>
          <w:lang w:val="ro-RO"/>
        </w:rPr>
        <w:t>NOTĂ INFORMATIVĂ</w:t>
      </w:r>
    </w:p>
    <w:p w14:paraId="7F050C30" w14:textId="17AAF9F4" w:rsidR="00016F1B" w:rsidRPr="007823AD" w:rsidRDefault="00016F1B" w:rsidP="00016F1B">
      <w:pPr>
        <w:tabs>
          <w:tab w:val="left" w:pos="1080"/>
        </w:tabs>
        <w:spacing w:line="276" w:lineRule="auto"/>
        <w:ind w:firstLine="720"/>
        <w:jc w:val="center"/>
        <w:rPr>
          <w:b/>
          <w:sz w:val="28"/>
          <w:szCs w:val="28"/>
          <w:lang w:val="ro-RO"/>
        </w:rPr>
      </w:pPr>
      <w:r w:rsidRPr="007823AD">
        <w:rPr>
          <w:b/>
          <w:iCs/>
          <w:sz w:val="28"/>
          <w:szCs w:val="28"/>
          <w:lang w:val="ro-RO"/>
        </w:rPr>
        <w:t xml:space="preserve">la proiectul Hotărârii Comitetului executiv al Băncii Naționale a Moldovei </w:t>
      </w:r>
      <w:r w:rsidRPr="007823AD">
        <w:rPr>
          <w:b/>
          <w:sz w:val="28"/>
          <w:szCs w:val="28"/>
          <w:lang w:val="ro-RO"/>
        </w:rPr>
        <w:t xml:space="preserve">„Cu privire la primele de referință pentru </w:t>
      </w:r>
      <w:bookmarkStart w:id="0" w:name="_GoBack"/>
      <w:bookmarkEnd w:id="0"/>
      <w:r w:rsidRPr="007823AD">
        <w:rPr>
          <w:b/>
          <w:sz w:val="28"/>
          <w:szCs w:val="28"/>
          <w:lang w:val="ro-RO"/>
        </w:rPr>
        <w:t>asigurarea obligatorie de răspundere civilă auto internă și externă”</w:t>
      </w:r>
    </w:p>
    <w:tbl>
      <w:tblPr>
        <w:tblStyle w:val="TableGrid"/>
        <w:tblW w:w="0" w:type="auto"/>
        <w:tblLook w:val="04A0" w:firstRow="1" w:lastRow="0" w:firstColumn="1" w:lastColumn="0" w:noHBand="0" w:noVBand="1"/>
      </w:tblPr>
      <w:tblGrid>
        <w:gridCol w:w="9493"/>
      </w:tblGrid>
      <w:tr w:rsidR="00016F1B" w:rsidRPr="007823AD" w14:paraId="39718E5C" w14:textId="77777777" w:rsidTr="007823AD">
        <w:tc>
          <w:tcPr>
            <w:tcW w:w="9493" w:type="dxa"/>
          </w:tcPr>
          <w:p w14:paraId="137CE533" w14:textId="77777777" w:rsidR="00016F1B" w:rsidRPr="007823AD" w:rsidRDefault="00016F1B" w:rsidP="00016F1B">
            <w:pPr>
              <w:pStyle w:val="Heading1"/>
              <w:numPr>
                <w:ilvl w:val="0"/>
                <w:numId w:val="1"/>
              </w:numPr>
              <w:tabs>
                <w:tab w:val="num" w:pos="360"/>
                <w:tab w:val="left" w:pos="426"/>
              </w:tabs>
              <w:spacing w:before="0"/>
              <w:ind w:left="0" w:firstLine="0"/>
              <w:jc w:val="both"/>
              <w:outlineLvl w:val="0"/>
              <w:rPr>
                <w:rFonts w:cs="Times New Roman"/>
                <w:b/>
                <w:color w:val="000000" w:themeColor="text1"/>
                <w:szCs w:val="28"/>
              </w:rPr>
            </w:pPr>
            <w:r w:rsidRPr="007823AD">
              <w:rPr>
                <w:rFonts w:cs="Times New Roman"/>
                <w:b/>
                <w:color w:val="000000" w:themeColor="text1"/>
                <w:szCs w:val="28"/>
              </w:rPr>
              <w:t>Denumirea autorului:</w:t>
            </w:r>
          </w:p>
        </w:tc>
      </w:tr>
      <w:tr w:rsidR="00016F1B" w:rsidRPr="007823AD" w14:paraId="4C0FA72F" w14:textId="77777777" w:rsidTr="007823AD">
        <w:tc>
          <w:tcPr>
            <w:tcW w:w="9493" w:type="dxa"/>
          </w:tcPr>
          <w:p w14:paraId="4B886ECE" w14:textId="006A0AE5" w:rsidR="00016F1B" w:rsidRPr="007823AD" w:rsidRDefault="00016F1B" w:rsidP="007823AD">
            <w:pPr>
              <w:pStyle w:val="Heading1"/>
              <w:tabs>
                <w:tab w:val="left" w:pos="426"/>
              </w:tabs>
              <w:spacing w:before="0"/>
              <w:jc w:val="both"/>
              <w:outlineLvl w:val="0"/>
              <w:rPr>
                <w:rFonts w:cs="Times New Roman"/>
                <w:szCs w:val="28"/>
              </w:rPr>
            </w:pPr>
            <w:r w:rsidRPr="007823AD">
              <w:rPr>
                <w:rFonts w:cs="Times New Roman"/>
                <w:szCs w:val="28"/>
              </w:rPr>
              <w:t>Autorul proiectului de act normativ este Banca Națională a Moldovei.</w:t>
            </w:r>
          </w:p>
        </w:tc>
      </w:tr>
      <w:tr w:rsidR="00016F1B" w:rsidRPr="007823AD" w14:paraId="42AC0EA4" w14:textId="77777777" w:rsidTr="007823AD">
        <w:tc>
          <w:tcPr>
            <w:tcW w:w="9493" w:type="dxa"/>
          </w:tcPr>
          <w:p w14:paraId="0F8D8175" w14:textId="77777777" w:rsidR="00016F1B" w:rsidRPr="007823AD" w:rsidRDefault="00016F1B" w:rsidP="00016F1B">
            <w:pPr>
              <w:pStyle w:val="Heading1"/>
              <w:numPr>
                <w:ilvl w:val="0"/>
                <w:numId w:val="1"/>
              </w:numPr>
              <w:tabs>
                <w:tab w:val="num" w:pos="360"/>
                <w:tab w:val="left" w:pos="426"/>
              </w:tabs>
              <w:spacing w:before="0"/>
              <w:ind w:left="0" w:firstLine="0"/>
              <w:jc w:val="both"/>
              <w:outlineLvl w:val="0"/>
              <w:rPr>
                <w:rFonts w:cs="Times New Roman"/>
                <w:b/>
                <w:szCs w:val="28"/>
              </w:rPr>
            </w:pPr>
            <w:r w:rsidRPr="007823AD">
              <w:rPr>
                <w:rFonts w:cs="Times New Roman"/>
                <w:b/>
                <w:szCs w:val="28"/>
              </w:rPr>
              <w:t>Condițiile ce au impus elaborarea proiectului actului normativ și finalitățile urmărite:</w:t>
            </w:r>
          </w:p>
        </w:tc>
      </w:tr>
      <w:tr w:rsidR="00016F1B" w:rsidRPr="007823AD" w14:paraId="2ACB9486" w14:textId="77777777" w:rsidTr="007823AD">
        <w:tc>
          <w:tcPr>
            <w:tcW w:w="9493" w:type="dxa"/>
          </w:tcPr>
          <w:p w14:paraId="4DF7642A" w14:textId="54DAA21F" w:rsidR="007823AD" w:rsidRPr="00394B38" w:rsidRDefault="007823AD" w:rsidP="00016F1B">
            <w:pPr>
              <w:shd w:val="clear" w:color="auto" w:fill="FFFFFF" w:themeFill="background1"/>
              <w:jc w:val="both"/>
              <w:rPr>
                <w:sz w:val="28"/>
                <w:szCs w:val="28"/>
                <w:lang w:val="ro-RO"/>
              </w:rPr>
            </w:pPr>
            <w:bookmarkStart w:id="1" w:name="_Hlk132013423"/>
            <w:r w:rsidRPr="00394B38">
              <w:rPr>
                <w:sz w:val="28"/>
                <w:szCs w:val="28"/>
                <w:lang w:val="ro-RO"/>
              </w:rPr>
              <w:t>Elaborarea proiectului Hotărârii Comitetului executiv al Băncii Naționale a Moldovei „Cu privire la primele de referință pentru asigurarea obligatorie de răspundere civilă auto internă și externă” a fost condiționat de prevederile cadrului normativ.</w:t>
            </w:r>
          </w:p>
          <w:p w14:paraId="554095A2" w14:textId="628A6E27" w:rsidR="00016F1B" w:rsidRPr="00394B38" w:rsidRDefault="007823AD" w:rsidP="00016F1B">
            <w:pPr>
              <w:shd w:val="clear" w:color="auto" w:fill="FFFFFF" w:themeFill="background1"/>
              <w:jc w:val="both"/>
              <w:rPr>
                <w:sz w:val="28"/>
                <w:szCs w:val="28"/>
                <w:lang w:val="ro-RO"/>
              </w:rPr>
            </w:pPr>
            <w:r w:rsidRPr="00394B38">
              <w:rPr>
                <w:sz w:val="28"/>
                <w:szCs w:val="28"/>
                <w:lang w:val="ro-RO"/>
              </w:rPr>
              <w:t>Astfel, p</w:t>
            </w:r>
            <w:r w:rsidR="00016F1B" w:rsidRPr="00394B38">
              <w:rPr>
                <w:sz w:val="28"/>
                <w:szCs w:val="28"/>
                <w:lang w:val="ro-RO"/>
              </w:rPr>
              <w:t>otrivit art. 12 alin. (11) din Legea nr. 106/2022 privind asigurarea obligatorie de răspundere civilă auto pentru pagube produse de vehicule,</w:t>
            </w:r>
            <w:r w:rsidR="00A22ED4" w:rsidRPr="00394B38">
              <w:rPr>
                <w:sz w:val="28"/>
                <w:szCs w:val="28"/>
                <w:lang w:val="ro-RO"/>
              </w:rPr>
              <w:t xml:space="preserve"> care stabilește că</w:t>
            </w:r>
            <w:r w:rsidR="00A22ED4" w:rsidRPr="00394B38">
              <w:t xml:space="preserve"> </w:t>
            </w:r>
            <w:r w:rsidR="00A22ED4" w:rsidRPr="00394B38">
              <w:rPr>
                <w:sz w:val="28"/>
                <w:szCs w:val="28"/>
                <w:lang w:val="ro-RO"/>
              </w:rPr>
              <w:t xml:space="preserve">Banca </w:t>
            </w:r>
            <w:r w:rsidR="00E74CBB" w:rsidRPr="00394B38">
              <w:rPr>
                <w:sz w:val="28"/>
                <w:szCs w:val="28"/>
                <w:lang w:val="ro-RO"/>
              </w:rPr>
              <w:t>Națională</w:t>
            </w:r>
            <w:r w:rsidR="00A22ED4" w:rsidRPr="00394B38">
              <w:rPr>
                <w:sz w:val="28"/>
                <w:szCs w:val="28"/>
                <w:lang w:val="ro-RO"/>
              </w:rPr>
              <w:t xml:space="preserve"> a Moldovei calculează cel </w:t>
            </w:r>
            <w:r w:rsidR="00E74CBB" w:rsidRPr="00394B38">
              <w:rPr>
                <w:sz w:val="28"/>
                <w:szCs w:val="28"/>
                <w:lang w:val="ro-RO"/>
              </w:rPr>
              <w:t>puțin</w:t>
            </w:r>
            <w:r w:rsidR="00A22ED4" w:rsidRPr="00394B38">
              <w:rPr>
                <w:sz w:val="28"/>
                <w:szCs w:val="28"/>
                <w:lang w:val="ro-RO"/>
              </w:rPr>
              <w:t xml:space="preserve"> o dată pe an primele de </w:t>
            </w:r>
            <w:r w:rsidR="00E74CBB" w:rsidRPr="00394B38">
              <w:rPr>
                <w:sz w:val="28"/>
                <w:szCs w:val="28"/>
                <w:lang w:val="ro-RO"/>
              </w:rPr>
              <w:t>referință</w:t>
            </w:r>
            <w:r w:rsidR="00A22ED4" w:rsidRPr="00394B38">
              <w:rPr>
                <w:sz w:val="28"/>
                <w:szCs w:val="28"/>
                <w:lang w:val="ro-RO"/>
              </w:rPr>
              <w:t xml:space="preserve"> </w:t>
            </w:r>
            <w:r w:rsidR="00E74CBB" w:rsidRPr="00394B38">
              <w:rPr>
                <w:sz w:val="28"/>
                <w:szCs w:val="28"/>
                <w:lang w:val="ro-RO"/>
              </w:rPr>
              <w:t>și</w:t>
            </w:r>
            <w:r w:rsidR="00A22ED4" w:rsidRPr="00394B38">
              <w:rPr>
                <w:sz w:val="28"/>
                <w:szCs w:val="28"/>
                <w:lang w:val="ro-RO"/>
              </w:rPr>
              <w:t xml:space="preserve"> le publică conform actelor sale normative, </w:t>
            </w:r>
            <w:r w:rsidR="00E74CBB" w:rsidRPr="00394B38">
              <w:rPr>
                <w:sz w:val="28"/>
                <w:szCs w:val="28"/>
                <w:lang w:val="ro-RO"/>
              </w:rPr>
              <w:t>reieșind</w:t>
            </w:r>
            <w:r w:rsidR="00A22ED4" w:rsidRPr="00394B38">
              <w:rPr>
                <w:sz w:val="28"/>
                <w:szCs w:val="28"/>
                <w:lang w:val="ro-RO"/>
              </w:rPr>
              <w:t xml:space="preserve"> din baza tehnică de calcul aferentă </w:t>
            </w:r>
            <w:r w:rsidR="00E74CBB" w:rsidRPr="00394B38">
              <w:rPr>
                <w:sz w:val="28"/>
                <w:szCs w:val="28"/>
                <w:lang w:val="ro-RO"/>
              </w:rPr>
              <w:t>informațiilor</w:t>
            </w:r>
            <w:r w:rsidR="00A22ED4" w:rsidRPr="00394B38">
              <w:rPr>
                <w:sz w:val="28"/>
                <w:szCs w:val="28"/>
                <w:lang w:val="ro-RO"/>
              </w:rPr>
              <w:t xml:space="preserve"> statistice (cumulată per </w:t>
            </w:r>
            <w:r w:rsidR="00E74CBB" w:rsidRPr="00394B38">
              <w:rPr>
                <w:sz w:val="28"/>
                <w:szCs w:val="28"/>
                <w:lang w:val="ro-RO"/>
              </w:rPr>
              <w:t>piață</w:t>
            </w:r>
            <w:r w:rsidR="00A22ED4" w:rsidRPr="00394B38">
              <w:rPr>
                <w:sz w:val="28"/>
                <w:szCs w:val="28"/>
                <w:lang w:val="ro-RO"/>
              </w:rPr>
              <w:t>), și subsecvent</w:t>
            </w:r>
            <w:r w:rsidR="00060B79">
              <w:rPr>
                <w:sz w:val="28"/>
                <w:szCs w:val="28"/>
                <w:lang w:val="ro-RO"/>
              </w:rPr>
              <w:t>,</w:t>
            </w:r>
            <w:r w:rsidR="00A22ED4" w:rsidRPr="00394B38">
              <w:rPr>
                <w:sz w:val="28"/>
                <w:szCs w:val="28"/>
                <w:lang w:val="ro-RO"/>
              </w:rPr>
              <w:t xml:space="preserve"> conform </w:t>
            </w:r>
            <w:r w:rsidR="00016F1B" w:rsidRPr="00394B38">
              <w:rPr>
                <w:sz w:val="28"/>
                <w:szCs w:val="28"/>
                <w:lang w:val="ro-RO"/>
              </w:rPr>
              <w:t xml:space="preserve"> pct. 6 din Metodologia de calculare și de aplicare a primei de asigurare de bază și a coeficienților de rectificare aferenți asigurării obligatorii de răspundere civilă auto internă și externă, aprobată prin Hotărârea CNPF nr. 31/2/2023 (în continuare – Metodologie), autoritatea de supraveghere – Banca Națională a Moldovei, cel puțin o dată </w:t>
            </w:r>
            <w:r w:rsidR="00314DB5">
              <w:rPr>
                <w:sz w:val="28"/>
                <w:szCs w:val="28"/>
                <w:lang w:val="ro-RO"/>
              </w:rPr>
              <w:t>p</w:t>
            </w:r>
            <w:r w:rsidR="00016F1B" w:rsidRPr="00394B38">
              <w:rPr>
                <w:sz w:val="28"/>
                <w:szCs w:val="28"/>
                <w:lang w:val="ro-RO"/>
              </w:rPr>
              <w:t>e an, în baza datelor statistice generalizate la nivelul pieței pentru cel puțin ultimii 5 ani consecutivi, calculează și publică în Monitorul Oficial al Republicii Moldova primele de referință și valoarea primelor de asigurare de bază și a coeficienților de rectificare aferenți asigurării obligatorii RCA internă și externă.</w:t>
            </w:r>
          </w:p>
          <w:p w14:paraId="29B93854" w14:textId="5FECEF90" w:rsidR="00016F1B" w:rsidRPr="00394B38" w:rsidRDefault="00016F1B" w:rsidP="00525916">
            <w:pPr>
              <w:shd w:val="clear" w:color="auto" w:fill="FFFFFF" w:themeFill="background1"/>
              <w:jc w:val="both"/>
              <w:rPr>
                <w:sz w:val="28"/>
                <w:szCs w:val="28"/>
                <w:lang w:val="ro-RO"/>
              </w:rPr>
            </w:pPr>
            <w:r w:rsidRPr="00394B38">
              <w:rPr>
                <w:sz w:val="28"/>
                <w:szCs w:val="28"/>
                <w:lang w:val="ro-RO"/>
              </w:rPr>
              <w:t xml:space="preserve">Datele statistice au fost generalizate la nivelul pieței </w:t>
            </w:r>
            <w:r w:rsidR="00525916" w:rsidRPr="00394B38">
              <w:rPr>
                <w:sz w:val="28"/>
                <w:szCs w:val="28"/>
                <w:lang w:val="ro-RO"/>
              </w:rPr>
              <w:t xml:space="preserve">pentru 5 ani consecutivi (2018-2022) </w:t>
            </w:r>
            <w:r w:rsidRPr="00394B38">
              <w:rPr>
                <w:sz w:val="28"/>
                <w:szCs w:val="28"/>
                <w:lang w:val="ro-RO"/>
              </w:rPr>
              <w:t xml:space="preserve">în baza datelor </w:t>
            </w:r>
            <w:r w:rsidR="00525916" w:rsidRPr="00394B38">
              <w:rPr>
                <w:sz w:val="28"/>
                <w:szCs w:val="28"/>
                <w:lang w:val="ro-RO"/>
              </w:rPr>
              <w:t xml:space="preserve">statistice </w:t>
            </w:r>
            <w:r w:rsidRPr="00394B38">
              <w:rPr>
                <w:sz w:val="28"/>
                <w:szCs w:val="28"/>
                <w:lang w:val="ro-RO"/>
              </w:rPr>
              <w:t xml:space="preserve">prezentate </w:t>
            </w:r>
            <w:r w:rsidR="00525916" w:rsidRPr="00394B38">
              <w:rPr>
                <w:sz w:val="28"/>
                <w:szCs w:val="28"/>
                <w:lang w:val="ro-RO"/>
              </w:rPr>
              <w:t xml:space="preserve">potrivit pct. 4 din Metodologie </w:t>
            </w:r>
            <w:r w:rsidRPr="00394B38">
              <w:rPr>
                <w:sz w:val="28"/>
                <w:szCs w:val="28"/>
                <w:lang w:val="ro-RO"/>
              </w:rPr>
              <w:t xml:space="preserve">de către societățile de asigurare </w:t>
            </w:r>
            <w:r w:rsidR="00525916" w:rsidRPr="00394B38">
              <w:rPr>
                <w:sz w:val="28"/>
                <w:szCs w:val="28"/>
                <w:lang w:val="ro-RO"/>
              </w:rPr>
              <w:t>licențiate</w:t>
            </w:r>
            <w:r w:rsidR="00525916" w:rsidRPr="00394B38">
              <w:t xml:space="preserve"> </w:t>
            </w:r>
            <w:r w:rsidR="00525916" w:rsidRPr="00394B38">
              <w:rPr>
                <w:sz w:val="28"/>
                <w:szCs w:val="28"/>
                <w:lang w:val="ro-RO"/>
              </w:rPr>
              <w:t xml:space="preserve">să </w:t>
            </w:r>
            <w:r w:rsidR="00394B38" w:rsidRPr="00394B38">
              <w:rPr>
                <w:sz w:val="28"/>
                <w:szCs w:val="28"/>
                <w:lang w:val="ro-RO"/>
              </w:rPr>
              <w:t>desfășoare</w:t>
            </w:r>
            <w:r w:rsidR="00525916" w:rsidRPr="00394B38">
              <w:rPr>
                <w:sz w:val="28"/>
                <w:szCs w:val="28"/>
                <w:lang w:val="ro-RO"/>
              </w:rPr>
              <w:t xml:space="preserve"> activitatea de asigurare obligatorie răspundere civilă auto,  </w:t>
            </w:r>
            <w:r w:rsidRPr="00394B38">
              <w:rPr>
                <w:sz w:val="28"/>
                <w:szCs w:val="28"/>
                <w:lang w:val="ro-RO"/>
              </w:rPr>
              <w:t xml:space="preserve">care conțin informații </w:t>
            </w:r>
            <w:r w:rsidR="00525916" w:rsidRPr="00394B38">
              <w:rPr>
                <w:sz w:val="28"/>
                <w:szCs w:val="28"/>
                <w:lang w:val="ro-RO"/>
              </w:rPr>
              <w:t xml:space="preserve">sistematizate </w:t>
            </w:r>
            <w:r w:rsidRPr="00394B38">
              <w:rPr>
                <w:sz w:val="28"/>
                <w:szCs w:val="28"/>
                <w:lang w:val="ro-RO"/>
              </w:rPr>
              <w:t xml:space="preserve">conform </w:t>
            </w:r>
            <w:r w:rsidR="00060B79">
              <w:rPr>
                <w:sz w:val="28"/>
                <w:szCs w:val="28"/>
                <w:lang w:val="ro-RO"/>
              </w:rPr>
              <w:t>a</w:t>
            </w:r>
            <w:r w:rsidRPr="00394B38">
              <w:rPr>
                <w:sz w:val="28"/>
                <w:szCs w:val="28"/>
                <w:lang w:val="ro-RO"/>
              </w:rPr>
              <w:t>nexei la Metodologie</w:t>
            </w:r>
            <w:r w:rsidR="00525916" w:rsidRPr="00394B38">
              <w:rPr>
                <w:sz w:val="28"/>
                <w:szCs w:val="28"/>
                <w:lang w:val="ro-RO"/>
              </w:rPr>
              <w:t>,</w:t>
            </w:r>
            <w:r w:rsidRPr="00394B38">
              <w:rPr>
                <w:sz w:val="28"/>
                <w:szCs w:val="28"/>
                <w:lang w:val="ro-RO"/>
              </w:rPr>
              <w:t xml:space="preserve"> </w:t>
            </w:r>
            <w:r w:rsidR="00525916" w:rsidRPr="00394B38">
              <w:rPr>
                <w:sz w:val="28"/>
                <w:szCs w:val="28"/>
                <w:lang w:val="ro-RO"/>
              </w:rPr>
              <w:t xml:space="preserve">ce include </w:t>
            </w:r>
            <w:r w:rsidRPr="00394B38">
              <w:rPr>
                <w:sz w:val="28"/>
                <w:szCs w:val="28"/>
                <w:lang w:val="ro-RO"/>
              </w:rPr>
              <w:t>numărul polițelor</w:t>
            </w:r>
            <w:r w:rsidR="00A32609">
              <w:rPr>
                <w:sz w:val="28"/>
                <w:szCs w:val="28"/>
                <w:lang w:val="ro-RO"/>
              </w:rPr>
              <w:t>-</w:t>
            </w:r>
            <w:r w:rsidRPr="00A32609">
              <w:rPr>
                <w:sz w:val="28"/>
                <w:szCs w:val="28"/>
                <w:lang w:val="ro-RO"/>
              </w:rPr>
              <w:t>an</w:t>
            </w:r>
            <w:r w:rsidRPr="00394B38">
              <w:rPr>
                <w:sz w:val="28"/>
                <w:szCs w:val="28"/>
                <w:lang w:val="ro-RO"/>
              </w:rPr>
              <w:t xml:space="preserve"> expuse la risc, numărul și valoarea daunelor achitate, numărul și valoarea daunelor declarate, dar nesoluționate, divizate per factori de risc necesari calculului coeficienților de rectificare. </w:t>
            </w:r>
          </w:p>
          <w:p w14:paraId="41B2A523" w14:textId="1FAF523D" w:rsidR="00016F1B" w:rsidRPr="00394B38" w:rsidRDefault="00016F1B" w:rsidP="00016F1B">
            <w:pPr>
              <w:shd w:val="clear" w:color="auto" w:fill="FFFFFF" w:themeFill="background1"/>
              <w:jc w:val="both"/>
              <w:rPr>
                <w:sz w:val="28"/>
                <w:szCs w:val="28"/>
                <w:lang w:val="ro-RO"/>
              </w:rPr>
            </w:pPr>
            <w:r w:rsidRPr="00394B38">
              <w:rPr>
                <w:sz w:val="28"/>
                <w:szCs w:val="28"/>
                <w:lang w:val="ro-RO"/>
              </w:rPr>
              <w:t xml:space="preserve">Conform Metodologiei, procesul de calcul al primelor de referință este divizat în </w:t>
            </w:r>
            <w:r w:rsidR="00314DB5">
              <w:rPr>
                <w:sz w:val="28"/>
                <w:szCs w:val="28"/>
                <w:lang w:val="ro-RO"/>
              </w:rPr>
              <w:t>două</w:t>
            </w:r>
            <w:r w:rsidRPr="00394B38">
              <w:rPr>
                <w:sz w:val="28"/>
                <w:szCs w:val="28"/>
                <w:lang w:val="ro-RO"/>
              </w:rPr>
              <w:t xml:space="preserve"> etape:</w:t>
            </w:r>
          </w:p>
          <w:p w14:paraId="7D761983" w14:textId="37ECF725" w:rsidR="00016F1B" w:rsidRPr="00394B38" w:rsidRDefault="00016F1B" w:rsidP="00AE28F1">
            <w:pPr>
              <w:shd w:val="clear" w:color="auto" w:fill="FFFFFF" w:themeFill="background1"/>
              <w:tabs>
                <w:tab w:val="left" w:pos="313"/>
              </w:tabs>
              <w:jc w:val="both"/>
              <w:rPr>
                <w:sz w:val="28"/>
                <w:szCs w:val="28"/>
                <w:lang w:val="ro-RO"/>
              </w:rPr>
            </w:pPr>
            <w:r w:rsidRPr="00394B38">
              <w:rPr>
                <w:sz w:val="28"/>
                <w:szCs w:val="28"/>
                <w:lang w:val="ro-RO"/>
              </w:rPr>
              <w:t>1.</w:t>
            </w:r>
            <w:r w:rsidRPr="00394B38">
              <w:rPr>
                <w:sz w:val="28"/>
                <w:szCs w:val="28"/>
                <w:lang w:val="ro-RO"/>
              </w:rPr>
              <w:tab/>
              <w:t xml:space="preserve">Calculul </w:t>
            </w:r>
            <w:r w:rsidR="00750396" w:rsidRPr="00394B38">
              <w:rPr>
                <w:sz w:val="28"/>
                <w:szCs w:val="28"/>
                <w:lang w:val="ro-RO"/>
              </w:rPr>
              <w:t xml:space="preserve">valorilor </w:t>
            </w:r>
            <w:r w:rsidRPr="00394B38">
              <w:rPr>
                <w:sz w:val="28"/>
                <w:szCs w:val="28"/>
                <w:lang w:val="ro-RO"/>
              </w:rPr>
              <w:t>prime</w:t>
            </w:r>
            <w:r w:rsidR="00AE28F1" w:rsidRPr="00394B38">
              <w:rPr>
                <w:sz w:val="28"/>
                <w:szCs w:val="28"/>
                <w:lang w:val="ro-RO"/>
              </w:rPr>
              <w:t>lor</w:t>
            </w:r>
            <w:r w:rsidRPr="00394B38">
              <w:rPr>
                <w:sz w:val="28"/>
                <w:szCs w:val="28"/>
                <w:lang w:val="ro-RO"/>
              </w:rPr>
              <w:t xml:space="preserve"> de asigurare de bază, conform formulelor actuariale din Metodologie;</w:t>
            </w:r>
          </w:p>
          <w:p w14:paraId="7E111711" w14:textId="77777777" w:rsidR="00394B38" w:rsidRPr="00394B38" w:rsidRDefault="00016F1B" w:rsidP="00394B38">
            <w:pPr>
              <w:shd w:val="clear" w:color="auto" w:fill="FFFFFF" w:themeFill="background1"/>
              <w:ind w:firstLine="454"/>
              <w:jc w:val="both"/>
              <w:rPr>
                <w:sz w:val="28"/>
                <w:szCs w:val="28"/>
                <w:lang w:val="ro-RO"/>
              </w:rPr>
            </w:pPr>
            <w:r w:rsidRPr="00394B38">
              <w:rPr>
                <w:sz w:val="28"/>
                <w:szCs w:val="28"/>
                <w:lang w:val="ro-RO"/>
              </w:rPr>
              <w:t>2.</w:t>
            </w:r>
            <w:r w:rsidRPr="00394B38">
              <w:rPr>
                <w:sz w:val="28"/>
                <w:szCs w:val="28"/>
                <w:lang w:val="ro-RO"/>
              </w:rPr>
              <w:tab/>
              <w:t xml:space="preserve">Calculul </w:t>
            </w:r>
            <w:r w:rsidR="00750396" w:rsidRPr="00394B38">
              <w:rPr>
                <w:sz w:val="28"/>
                <w:szCs w:val="28"/>
                <w:lang w:val="ro-RO"/>
              </w:rPr>
              <w:t xml:space="preserve">valorilor </w:t>
            </w:r>
            <w:r w:rsidRPr="00394B38">
              <w:rPr>
                <w:sz w:val="28"/>
                <w:szCs w:val="28"/>
                <w:lang w:val="ro-RO"/>
              </w:rPr>
              <w:t>coeficienților de rectificare (K</w:t>
            </w:r>
            <w:r w:rsidRPr="009B5AD6">
              <w:rPr>
                <w:sz w:val="28"/>
                <w:szCs w:val="28"/>
                <w:vertAlign w:val="subscript"/>
                <w:lang w:val="ro-RO"/>
              </w:rPr>
              <w:t>1</w:t>
            </w:r>
            <w:r w:rsidRPr="00394B38">
              <w:rPr>
                <w:sz w:val="28"/>
                <w:szCs w:val="28"/>
                <w:lang w:val="ro-RO"/>
              </w:rPr>
              <w:t xml:space="preserve"> – K</w:t>
            </w:r>
            <w:r w:rsidRPr="009B5AD6">
              <w:rPr>
                <w:sz w:val="28"/>
                <w:szCs w:val="28"/>
                <w:vertAlign w:val="subscript"/>
                <w:lang w:val="ro-RO"/>
              </w:rPr>
              <w:t>4</w:t>
            </w:r>
            <w:r w:rsidRPr="00394B38">
              <w:rPr>
                <w:sz w:val="28"/>
                <w:szCs w:val="28"/>
                <w:lang w:val="ro-RO"/>
              </w:rPr>
              <w:t>), care stabilește cuantumul riscului în funcție de anumiți factori:</w:t>
            </w:r>
          </w:p>
          <w:p w14:paraId="2417FE27" w14:textId="03FD4330" w:rsidR="00016F1B" w:rsidRPr="00394B38" w:rsidRDefault="00394B38" w:rsidP="00394B38">
            <w:pPr>
              <w:shd w:val="clear" w:color="auto" w:fill="FFFFFF" w:themeFill="background1"/>
              <w:ind w:firstLine="454"/>
              <w:jc w:val="both"/>
              <w:rPr>
                <w:sz w:val="28"/>
                <w:szCs w:val="28"/>
                <w:lang w:val="ro-RO"/>
              </w:rPr>
            </w:pPr>
            <w:r w:rsidRPr="00394B38">
              <w:rPr>
                <w:sz w:val="28"/>
                <w:szCs w:val="28"/>
                <w:lang w:val="ro-RO"/>
              </w:rPr>
              <w:t xml:space="preserve">-   </w:t>
            </w:r>
            <w:r w:rsidR="00016F1B" w:rsidRPr="00394B38">
              <w:rPr>
                <w:sz w:val="28"/>
                <w:szCs w:val="28"/>
                <w:lang w:val="ro-RO"/>
              </w:rPr>
              <w:t>K</w:t>
            </w:r>
            <w:r w:rsidR="00016F1B" w:rsidRPr="009B5AD6">
              <w:rPr>
                <w:sz w:val="28"/>
                <w:szCs w:val="28"/>
                <w:vertAlign w:val="subscript"/>
                <w:lang w:val="ro-RO"/>
              </w:rPr>
              <w:t>1</w:t>
            </w:r>
            <w:r w:rsidR="00016F1B" w:rsidRPr="00394B38">
              <w:rPr>
                <w:sz w:val="28"/>
                <w:szCs w:val="28"/>
                <w:lang w:val="ro-RO"/>
              </w:rPr>
              <w:t xml:space="preserve"> – categoria vehiculului;</w:t>
            </w:r>
          </w:p>
          <w:p w14:paraId="477DF66F" w14:textId="77777777" w:rsidR="00016F1B" w:rsidRPr="00394B38" w:rsidRDefault="00016F1B" w:rsidP="00AE28F1">
            <w:pPr>
              <w:shd w:val="clear" w:color="auto" w:fill="FFFFFF" w:themeFill="background1"/>
              <w:ind w:firstLine="454"/>
              <w:jc w:val="both"/>
              <w:rPr>
                <w:sz w:val="28"/>
                <w:szCs w:val="28"/>
                <w:lang w:val="ro-RO"/>
              </w:rPr>
            </w:pPr>
            <w:r w:rsidRPr="00394B38">
              <w:rPr>
                <w:sz w:val="28"/>
                <w:szCs w:val="28"/>
                <w:lang w:val="ro-RO"/>
              </w:rPr>
              <w:t>-</w:t>
            </w:r>
            <w:r w:rsidRPr="00394B38">
              <w:rPr>
                <w:sz w:val="28"/>
                <w:szCs w:val="28"/>
                <w:lang w:val="ro-RO"/>
              </w:rPr>
              <w:tab/>
              <w:t>K</w:t>
            </w:r>
            <w:r w:rsidRPr="009B5AD6">
              <w:rPr>
                <w:sz w:val="28"/>
                <w:szCs w:val="28"/>
                <w:vertAlign w:val="subscript"/>
                <w:lang w:val="ro-RO"/>
              </w:rPr>
              <w:t>2</w:t>
            </w:r>
            <w:r w:rsidRPr="00394B38">
              <w:rPr>
                <w:sz w:val="28"/>
                <w:szCs w:val="28"/>
                <w:lang w:val="ro-RO"/>
              </w:rPr>
              <w:t xml:space="preserve"> – teritoriul utilizării vehiculului;</w:t>
            </w:r>
          </w:p>
          <w:p w14:paraId="4663D91D" w14:textId="77777777" w:rsidR="00016F1B" w:rsidRPr="00394B38" w:rsidRDefault="00016F1B" w:rsidP="00AE28F1">
            <w:pPr>
              <w:shd w:val="clear" w:color="auto" w:fill="FFFFFF" w:themeFill="background1"/>
              <w:ind w:firstLine="454"/>
              <w:jc w:val="both"/>
              <w:rPr>
                <w:sz w:val="28"/>
                <w:szCs w:val="28"/>
                <w:lang w:val="ro-RO"/>
              </w:rPr>
            </w:pPr>
            <w:r w:rsidRPr="00394B38">
              <w:rPr>
                <w:sz w:val="28"/>
                <w:szCs w:val="28"/>
                <w:lang w:val="ro-RO"/>
              </w:rPr>
              <w:lastRenderedPageBreak/>
              <w:t>-</w:t>
            </w:r>
            <w:r w:rsidRPr="00394B38">
              <w:rPr>
                <w:sz w:val="28"/>
                <w:szCs w:val="28"/>
                <w:lang w:val="ro-RO"/>
              </w:rPr>
              <w:tab/>
              <w:t>K</w:t>
            </w:r>
            <w:r w:rsidRPr="009B5AD6">
              <w:rPr>
                <w:sz w:val="28"/>
                <w:szCs w:val="28"/>
                <w:vertAlign w:val="subscript"/>
                <w:lang w:val="ro-RO"/>
              </w:rPr>
              <w:t>3</w:t>
            </w:r>
            <w:r w:rsidRPr="00394B38">
              <w:rPr>
                <w:sz w:val="28"/>
                <w:szCs w:val="28"/>
                <w:lang w:val="ro-RO"/>
              </w:rPr>
              <w:t xml:space="preserve"> – statutul juridic al asiguratului;</w:t>
            </w:r>
          </w:p>
          <w:p w14:paraId="7F8D10BD" w14:textId="77777777" w:rsidR="00016F1B" w:rsidRPr="00394B38" w:rsidRDefault="00016F1B" w:rsidP="00AE28F1">
            <w:pPr>
              <w:shd w:val="clear" w:color="auto" w:fill="FFFFFF" w:themeFill="background1"/>
              <w:ind w:firstLine="454"/>
              <w:jc w:val="both"/>
              <w:rPr>
                <w:sz w:val="28"/>
                <w:szCs w:val="28"/>
                <w:lang w:val="ro-RO"/>
              </w:rPr>
            </w:pPr>
            <w:r w:rsidRPr="00394B38">
              <w:rPr>
                <w:sz w:val="28"/>
                <w:szCs w:val="28"/>
                <w:lang w:val="ro-RO"/>
              </w:rPr>
              <w:t>-</w:t>
            </w:r>
            <w:r w:rsidRPr="00394B38">
              <w:rPr>
                <w:sz w:val="28"/>
                <w:szCs w:val="28"/>
                <w:lang w:val="ro-RO"/>
              </w:rPr>
              <w:tab/>
              <w:t>K</w:t>
            </w:r>
            <w:r w:rsidRPr="009B5AD6">
              <w:rPr>
                <w:sz w:val="28"/>
                <w:szCs w:val="28"/>
                <w:vertAlign w:val="subscript"/>
                <w:lang w:val="ro-RO"/>
              </w:rPr>
              <w:t>4</w:t>
            </w:r>
            <w:r w:rsidRPr="00394B38">
              <w:rPr>
                <w:sz w:val="28"/>
                <w:szCs w:val="28"/>
                <w:lang w:val="ro-RO"/>
              </w:rPr>
              <w:t xml:space="preserve"> – vârsta și vechimea în conducere a asiguratului;</w:t>
            </w:r>
          </w:p>
          <w:p w14:paraId="61C80F61" w14:textId="569C6797" w:rsidR="00016F1B" w:rsidRPr="00394B38" w:rsidRDefault="00016F1B" w:rsidP="00016F1B">
            <w:pPr>
              <w:shd w:val="clear" w:color="auto" w:fill="FFFFFF" w:themeFill="background1"/>
              <w:jc w:val="both"/>
              <w:rPr>
                <w:sz w:val="28"/>
                <w:szCs w:val="28"/>
                <w:lang w:val="ro-RO"/>
              </w:rPr>
            </w:pPr>
            <w:r w:rsidRPr="00394B38">
              <w:rPr>
                <w:sz w:val="28"/>
                <w:szCs w:val="28"/>
                <w:lang w:val="ro-RO"/>
              </w:rPr>
              <w:t xml:space="preserve">Calculul </w:t>
            </w:r>
            <w:r w:rsidR="00750396" w:rsidRPr="00394B38">
              <w:rPr>
                <w:sz w:val="28"/>
                <w:szCs w:val="28"/>
                <w:lang w:val="ro-RO"/>
              </w:rPr>
              <w:t xml:space="preserve">valorilor </w:t>
            </w:r>
            <w:r w:rsidR="00AE28F1" w:rsidRPr="00394B38">
              <w:rPr>
                <w:sz w:val="28"/>
                <w:szCs w:val="28"/>
                <w:lang w:val="ro-RO"/>
              </w:rPr>
              <w:t xml:space="preserve">primelor </w:t>
            </w:r>
            <w:r w:rsidRPr="00394B38">
              <w:rPr>
                <w:sz w:val="28"/>
                <w:szCs w:val="28"/>
                <w:lang w:val="ro-RO"/>
              </w:rPr>
              <w:t xml:space="preserve">de asigurare de bază presupune estimarea primei pure, primei de risc </w:t>
            </w:r>
            <w:r w:rsidRPr="00F93469">
              <w:rPr>
                <w:sz w:val="28"/>
                <w:szCs w:val="28"/>
                <w:lang w:val="ro-RO"/>
              </w:rPr>
              <w:t>estimat</w:t>
            </w:r>
            <w:r w:rsidR="0005131D">
              <w:rPr>
                <w:sz w:val="28"/>
                <w:szCs w:val="28"/>
                <w:lang w:val="ro-RO"/>
              </w:rPr>
              <w:t>e</w:t>
            </w:r>
            <w:r w:rsidRPr="00F93469">
              <w:rPr>
                <w:sz w:val="28"/>
                <w:szCs w:val="28"/>
                <w:lang w:val="ro-RO"/>
              </w:rPr>
              <w:t>,</w:t>
            </w:r>
            <w:r w:rsidRPr="00394B38">
              <w:rPr>
                <w:sz w:val="28"/>
                <w:szCs w:val="28"/>
                <w:lang w:val="ro-RO"/>
              </w:rPr>
              <w:t xml:space="preserve"> factorilor de încărcare aferen</w:t>
            </w:r>
            <w:r w:rsidR="00F93469">
              <w:rPr>
                <w:sz w:val="28"/>
                <w:szCs w:val="28"/>
                <w:lang w:val="ro-RO"/>
              </w:rPr>
              <w:t>ți</w:t>
            </w:r>
            <w:r w:rsidRPr="00394B38">
              <w:rPr>
                <w:sz w:val="28"/>
                <w:szCs w:val="28"/>
                <w:lang w:val="ro-RO"/>
              </w:rPr>
              <w:t xml:space="preserve"> cheltuielilor administrative, </w:t>
            </w:r>
            <w:r w:rsidR="00F93469">
              <w:rPr>
                <w:sz w:val="28"/>
                <w:szCs w:val="28"/>
                <w:lang w:val="ro-RO"/>
              </w:rPr>
              <w:t xml:space="preserve">a </w:t>
            </w:r>
            <w:r w:rsidRPr="00394B38">
              <w:rPr>
                <w:sz w:val="28"/>
                <w:szCs w:val="28"/>
                <w:lang w:val="ro-RO"/>
              </w:rPr>
              <w:t xml:space="preserve">marjei de profit și </w:t>
            </w:r>
            <w:r w:rsidR="00F93469">
              <w:rPr>
                <w:sz w:val="28"/>
                <w:szCs w:val="28"/>
                <w:lang w:val="ro-RO"/>
              </w:rPr>
              <w:t xml:space="preserve">a </w:t>
            </w:r>
            <w:r w:rsidRPr="00394B38">
              <w:rPr>
                <w:sz w:val="28"/>
                <w:szCs w:val="28"/>
                <w:lang w:val="ro-RO"/>
              </w:rPr>
              <w:t>cot</w:t>
            </w:r>
            <w:r w:rsidR="00F93469">
              <w:rPr>
                <w:sz w:val="28"/>
                <w:szCs w:val="28"/>
                <w:lang w:val="ro-RO"/>
              </w:rPr>
              <w:t>ei</w:t>
            </w:r>
            <w:r w:rsidRPr="00394B38">
              <w:rPr>
                <w:sz w:val="28"/>
                <w:szCs w:val="28"/>
                <w:lang w:val="ro-RO"/>
              </w:rPr>
              <w:t xml:space="preserve"> factorului de încărcare aferent sistemului bonus-malus.</w:t>
            </w:r>
          </w:p>
          <w:p w14:paraId="12CBA395" w14:textId="493F00AB" w:rsidR="007823AD" w:rsidRPr="00394B38" w:rsidRDefault="00016F1B" w:rsidP="007823AD">
            <w:pPr>
              <w:shd w:val="clear" w:color="auto" w:fill="FFFFFF" w:themeFill="background1"/>
              <w:jc w:val="both"/>
              <w:rPr>
                <w:sz w:val="28"/>
                <w:szCs w:val="28"/>
                <w:lang w:val="ro-RO"/>
              </w:rPr>
            </w:pPr>
            <w:r w:rsidRPr="00394B38">
              <w:rPr>
                <w:sz w:val="28"/>
                <w:szCs w:val="28"/>
                <w:lang w:val="ro-RO"/>
              </w:rPr>
              <w:t>Valoarea coeficienților de rectificare se calculează pornind de la raționamentul de calculare a primei pure aferent</w:t>
            </w:r>
            <w:r w:rsidR="00314DB5">
              <w:rPr>
                <w:sz w:val="28"/>
                <w:szCs w:val="28"/>
                <w:lang w:val="ro-RO"/>
              </w:rPr>
              <w:t>e</w:t>
            </w:r>
            <w:r w:rsidRPr="00394B38">
              <w:rPr>
                <w:sz w:val="28"/>
                <w:szCs w:val="28"/>
                <w:lang w:val="ro-RO"/>
              </w:rPr>
              <w:t xml:space="preserve"> fiecărui factor de risc și raportată la prima pură totală per categoriile de vehicule.</w:t>
            </w:r>
            <w:bookmarkEnd w:id="1"/>
          </w:p>
          <w:p w14:paraId="55B56409" w14:textId="2338B753" w:rsidR="00AE28F1" w:rsidRPr="00394B38" w:rsidRDefault="00911236" w:rsidP="007823AD">
            <w:pPr>
              <w:shd w:val="clear" w:color="auto" w:fill="FFFFFF" w:themeFill="background1"/>
              <w:jc w:val="both"/>
              <w:rPr>
                <w:sz w:val="28"/>
                <w:szCs w:val="28"/>
                <w:lang w:val="ro-RO"/>
              </w:rPr>
            </w:pPr>
            <w:r w:rsidRPr="00394B38">
              <w:rPr>
                <w:sz w:val="28"/>
                <w:szCs w:val="28"/>
                <w:lang w:val="ro-RO"/>
              </w:rPr>
              <w:t xml:space="preserve">În final, prima de </w:t>
            </w:r>
            <w:r w:rsidR="00E74CBB" w:rsidRPr="00394B38">
              <w:rPr>
                <w:sz w:val="28"/>
                <w:szCs w:val="28"/>
                <w:lang w:val="ro-RO"/>
              </w:rPr>
              <w:t>referință</w:t>
            </w:r>
            <w:r w:rsidRPr="00394B38">
              <w:rPr>
                <w:sz w:val="28"/>
                <w:szCs w:val="28"/>
                <w:lang w:val="ro-RO"/>
              </w:rPr>
              <w:t xml:space="preserve"> rezultă din produsul primei de asigurare de bază şi </w:t>
            </w:r>
            <w:r w:rsidR="00F93469">
              <w:rPr>
                <w:sz w:val="28"/>
                <w:szCs w:val="28"/>
                <w:lang w:val="ro-RO"/>
              </w:rPr>
              <w:t xml:space="preserve">al </w:t>
            </w:r>
            <w:r w:rsidR="00E74CBB" w:rsidRPr="00394B38">
              <w:rPr>
                <w:sz w:val="28"/>
                <w:szCs w:val="28"/>
                <w:lang w:val="ro-RO"/>
              </w:rPr>
              <w:t>coeficienților</w:t>
            </w:r>
            <w:r w:rsidRPr="00394B38">
              <w:rPr>
                <w:sz w:val="28"/>
                <w:szCs w:val="28"/>
                <w:lang w:val="ro-RO"/>
              </w:rPr>
              <w:t xml:space="preserve"> de rectificare, la care, ulterior, se aplică sistemul bonus-malus (numai în cazul asigurărilor obligatorii de răspundere civilă auto internă</w:t>
            </w:r>
            <w:r w:rsidR="00E74CBB" w:rsidRPr="00394B38">
              <w:rPr>
                <w:sz w:val="28"/>
                <w:szCs w:val="28"/>
                <w:lang w:val="ro-RO"/>
              </w:rPr>
              <w:t>)</w:t>
            </w:r>
            <w:r w:rsidRPr="00394B38">
              <w:rPr>
                <w:sz w:val="28"/>
                <w:szCs w:val="28"/>
                <w:lang w:val="ro-RO"/>
              </w:rPr>
              <w:t>.</w:t>
            </w:r>
          </w:p>
        </w:tc>
      </w:tr>
      <w:tr w:rsidR="00016F1B" w:rsidRPr="007823AD" w14:paraId="2781584A" w14:textId="77777777" w:rsidTr="007823AD">
        <w:tc>
          <w:tcPr>
            <w:tcW w:w="9493" w:type="dxa"/>
          </w:tcPr>
          <w:p w14:paraId="5F0D97B1" w14:textId="77777777" w:rsidR="00016F1B" w:rsidRPr="00394B38" w:rsidRDefault="00016F1B" w:rsidP="00016F1B">
            <w:pPr>
              <w:pStyle w:val="Heading1"/>
              <w:numPr>
                <w:ilvl w:val="0"/>
                <w:numId w:val="1"/>
              </w:numPr>
              <w:tabs>
                <w:tab w:val="num" w:pos="360"/>
                <w:tab w:val="left" w:pos="426"/>
              </w:tabs>
              <w:spacing w:before="0"/>
              <w:ind w:left="0" w:firstLine="0"/>
              <w:jc w:val="both"/>
              <w:outlineLvl w:val="0"/>
              <w:rPr>
                <w:rFonts w:cs="Times New Roman"/>
                <w:b/>
                <w:szCs w:val="28"/>
              </w:rPr>
            </w:pPr>
            <w:r w:rsidRPr="00394B38">
              <w:rPr>
                <w:rFonts w:cs="Times New Roman"/>
                <w:b/>
                <w:szCs w:val="28"/>
              </w:rPr>
              <w:lastRenderedPageBreak/>
              <w:t>Descrierea gradului de compatibilitate pentru proiectele care au ca scop armonizarea legislației naționale cu legislația Uniunii Europene:</w:t>
            </w:r>
          </w:p>
        </w:tc>
      </w:tr>
      <w:tr w:rsidR="00016F1B" w:rsidRPr="007823AD" w14:paraId="0389622F" w14:textId="77777777" w:rsidTr="007823AD">
        <w:tc>
          <w:tcPr>
            <w:tcW w:w="9493" w:type="dxa"/>
          </w:tcPr>
          <w:p w14:paraId="27D0779C" w14:textId="5D7D9FFF" w:rsidR="00016F1B" w:rsidRPr="00394B38" w:rsidRDefault="00016F1B" w:rsidP="00D3210A">
            <w:pPr>
              <w:jc w:val="both"/>
              <w:rPr>
                <w:sz w:val="28"/>
                <w:szCs w:val="28"/>
                <w:lang w:val="ro-RO"/>
              </w:rPr>
            </w:pPr>
            <w:r w:rsidRPr="00394B38">
              <w:rPr>
                <w:sz w:val="28"/>
                <w:szCs w:val="28"/>
                <w:lang w:val="ro-RO"/>
              </w:rPr>
              <w:t>Prezentul proiect nu are drept scop armonizarea legislației naționale cu legislația UE.</w:t>
            </w:r>
          </w:p>
        </w:tc>
      </w:tr>
      <w:tr w:rsidR="00016F1B" w:rsidRPr="007823AD" w14:paraId="3149CFF0" w14:textId="77777777" w:rsidTr="007823AD">
        <w:tc>
          <w:tcPr>
            <w:tcW w:w="9493" w:type="dxa"/>
          </w:tcPr>
          <w:p w14:paraId="488855A1" w14:textId="77777777" w:rsidR="00016F1B" w:rsidRPr="00394B38" w:rsidRDefault="00016F1B" w:rsidP="00016F1B">
            <w:pPr>
              <w:pStyle w:val="Heading1"/>
              <w:numPr>
                <w:ilvl w:val="0"/>
                <w:numId w:val="1"/>
              </w:numPr>
              <w:tabs>
                <w:tab w:val="num" w:pos="360"/>
                <w:tab w:val="left" w:pos="426"/>
              </w:tabs>
              <w:spacing w:before="0"/>
              <w:ind w:left="0" w:firstLine="0"/>
              <w:jc w:val="both"/>
              <w:outlineLvl w:val="0"/>
              <w:rPr>
                <w:rFonts w:cs="Times New Roman"/>
                <w:b/>
                <w:szCs w:val="28"/>
              </w:rPr>
            </w:pPr>
            <w:r w:rsidRPr="00394B38">
              <w:rPr>
                <w:rFonts w:cs="Times New Roman"/>
                <w:b/>
                <w:szCs w:val="28"/>
              </w:rPr>
              <w:t>Principalele prevederi ale proiectului și evidențierea elementelor noi:</w:t>
            </w:r>
          </w:p>
        </w:tc>
      </w:tr>
      <w:tr w:rsidR="00016F1B" w:rsidRPr="007823AD" w14:paraId="5D9BE672" w14:textId="77777777" w:rsidTr="007823AD">
        <w:tc>
          <w:tcPr>
            <w:tcW w:w="9493" w:type="dxa"/>
          </w:tcPr>
          <w:p w14:paraId="2A1261E7" w14:textId="123C4DD1" w:rsidR="009578E9" w:rsidRPr="00394B38" w:rsidRDefault="00AC697D" w:rsidP="00E80124">
            <w:pPr>
              <w:jc w:val="both"/>
              <w:rPr>
                <w:sz w:val="28"/>
                <w:szCs w:val="28"/>
                <w:lang w:val="ro-MD"/>
              </w:rPr>
            </w:pPr>
            <w:r w:rsidRPr="00394B38">
              <w:rPr>
                <w:rFonts w:eastAsiaTheme="minorHAnsi"/>
                <w:sz w:val="28"/>
                <w:szCs w:val="28"/>
                <w:lang w:val="ro-MD"/>
              </w:rPr>
              <w:t>P</w:t>
            </w:r>
            <w:r w:rsidR="009578E9" w:rsidRPr="00394B38">
              <w:rPr>
                <w:rFonts w:eastAsiaTheme="minorHAnsi"/>
                <w:sz w:val="28"/>
                <w:szCs w:val="28"/>
                <w:lang w:val="ro-MD"/>
              </w:rPr>
              <w:t>roiectul hotărârii prevede stabilirea de către BNM a</w:t>
            </w:r>
            <w:r w:rsidR="00277244" w:rsidRPr="00394B38">
              <w:rPr>
                <w:rFonts w:eastAsiaTheme="minorHAnsi"/>
                <w:sz w:val="28"/>
                <w:szCs w:val="28"/>
                <w:lang w:val="ro-MD"/>
              </w:rPr>
              <w:t xml:space="preserve"> valorilor</w:t>
            </w:r>
            <w:r w:rsidR="009578E9" w:rsidRPr="00394B38">
              <w:rPr>
                <w:rFonts w:eastAsiaTheme="minorHAnsi"/>
                <w:sz w:val="28"/>
                <w:szCs w:val="28"/>
                <w:lang w:val="ro-MD"/>
              </w:rPr>
              <w:t xml:space="preserve"> prime</w:t>
            </w:r>
            <w:r w:rsidR="00AE28F1" w:rsidRPr="00394B38">
              <w:rPr>
                <w:rFonts w:eastAsiaTheme="minorHAnsi"/>
                <w:sz w:val="28"/>
                <w:szCs w:val="28"/>
                <w:lang w:val="ro-MD"/>
              </w:rPr>
              <w:t>lor</w:t>
            </w:r>
            <w:r w:rsidR="009578E9" w:rsidRPr="00394B38">
              <w:rPr>
                <w:rFonts w:eastAsiaTheme="minorHAnsi"/>
                <w:sz w:val="28"/>
                <w:szCs w:val="28"/>
                <w:lang w:val="ro-MD"/>
              </w:rPr>
              <w:t xml:space="preserve"> de bază și a</w:t>
            </w:r>
            <w:r w:rsidR="00314DB5">
              <w:rPr>
                <w:rFonts w:eastAsiaTheme="minorHAnsi"/>
                <w:sz w:val="28"/>
                <w:szCs w:val="28"/>
                <w:lang w:val="ro-MD"/>
              </w:rPr>
              <w:t>le</w:t>
            </w:r>
            <w:r w:rsidR="009578E9" w:rsidRPr="00394B38">
              <w:rPr>
                <w:rFonts w:eastAsiaTheme="minorHAnsi"/>
                <w:sz w:val="28"/>
                <w:szCs w:val="28"/>
                <w:lang w:val="ro-MD"/>
              </w:rPr>
              <w:t xml:space="preserve"> coeficienților de rectificare aferenți asigurărilor obligatorii de răspundere civilă auto internă și externă </w:t>
            </w:r>
            <w:r w:rsidR="00F93469">
              <w:rPr>
                <w:rFonts w:eastAsiaTheme="minorHAnsi"/>
                <w:sz w:val="28"/>
                <w:szCs w:val="28"/>
                <w:lang w:val="ro-MD"/>
              </w:rPr>
              <w:t xml:space="preserve">ca </w:t>
            </w:r>
            <w:r w:rsidR="009578E9" w:rsidRPr="00394B38">
              <w:rPr>
                <w:rFonts w:eastAsiaTheme="minorHAnsi"/>
                <w:sz w:val="28"/>
                <w:szCs w:val="28"/>
                <w:lang w:val="ro-MD"/>
              </w:rPr>
              <w:t xml:space="preserve">urmare a calculului actuarial, în baza datelor statistice generalizate la nivelul pieței, stabilirea </w:t>
            </w:r>
            <w:r w:rsidR="00277244" w:rsidRPr="00394B38">
              <w:rPr>
                <w:rFonts w:eastAsiaTheme="minorHAnsi"/>
                <w:sz w:val="28"/>
                <w:szCs w:val="28"/>
                <w:lang w:val="ro-MD"/>
              </w:rPr>
              <w:t xml:space="preserve">în parte a </w:t>
            </w:r>
            <w:r w:rsidR="009578E9" w:rsidRPr="00394B38">
              <w:rPr>
                <w:rFonts w:eastAsiaTheme="minorHAnsi"/>
                <w:sz w:val="28"/>
                <w:szCs w:val="28"/>
                <w:lang w:val="ro-MD"/>
              </w:rPr>
              <w:t>primelor de referință</w:t>
            </w:r>
            <w:r w:rsidR="00277244" w:rsidRPr="00394B38">
              <w:rPr>
                <w:rFonts w:eastAsiaTheme="minorHAnsi"/>
                <w:sz w:val="28"/>
                <w:szCs w:val="28"/>
                <w:lang w:val="ro-MD"/>
              </w:rPr>
              <w:t xml:space="preserve"> aferente asigurărilor obligatorii de răspundere civilă auto internă și externă</w:t>
            </w:r>
            <w:r w:rsidR="009578E9" w:rsidRPr="00394B38">
              <w:rPr>
                <w:rFonts w:eastAsiaTheme="minorHAnsi"/>
                <w:sz w:val="28"/>
                <w:szCs w:val="28"/>
                <w:lang w:val="ro-MD"/>
              </w:rPr>
              <w:t>, care se publică în Monitorul Oficial al Republicii Moldova</w:t>
            </w:r>
            <w:r w:rsidRPr="00394B38">
              <w:rPr>
                <w:rFonts w:eastAsiaTheme="minorHAnsi"/>
                <w:sz w:val="28"/>
                <w:szCs w:val="28"/>
                <w:lang w:val="ro-MD"/>
              </w:rPr>
              <w:t xml:space="preserve">, precum și </w:t>
            </w:r>
            <w:r w:rsidRPr="00394B38">
              <w:rPr>
                <w:sz w:val="28"/>
                <w:szCs w:val="28"/>
                <w:lang w:val="ro-MD"/>
              </w:rPr>
              <w:t xml:space="preserve">abrogarea Hotărârii CNPF nr. 25/2/2019 cu privire la modul de prezentare, avizare și aplicare a calculelor actuariale ale primelor de asigurare obligatorie de răspundere civilă auto, </w:t>
            </w:r>
            <w:r w:rsidR="00CC3A2D" w:rsidRPr="00394B38">
              <w:rPr>
                <w:sz w:val="28"/>
                <w:szCs w:val="28"/>
                <w:lang w:val="ro-MD"/>
              </w:rPr>
              <w:t xml:space="preserve">prin </w:t>
            </w:r>
            <w:r w:rsidRPr="00394B38">
              <w:rPr>
                <w:sz w:val="28"/>
                <w:szCs w:val="28"/>
                <w:lang w:val="ro-MD"/>
              </w:rPr>
              <w:t xml:space="preserve">care </w:t>
            </w:r>
            <w:r w:rsidR="00CC3A2D" w:rsidRPr="00394B38">
              <w:rPr>
                <w:sz w:val="28"/>
                <w:szCs w:val="28"/>
                <w:lang w:val="ro-MD"/>
              </w:rPr>
              <w:t>sunt calculate și aprobate primele de referință aferent</w:t>
            </w:r>
            <w:r w:rsidR="00314DB5">
              <w:rPr>
                <w:sz w:val="28"/>
                <w:szCs w:val="28"/>
                <w:lang w:val="ro-MD"/>
              </w:rPr>
              <w:t>e</w:t>
            </w:r>
            <w:r w:rsidR="00CC3A2D" w:rsidRPr="00394B38">
              <w:rPr>
                <w:sz w:val="28"/>
                <w:szCs w:val="28"/>
                <w:lang w:val="ro-MD"/>
              </w:rPr>
              <w:t xml:space="preserve"> asigurării de răspundere civilă auto internă și externă, conform anexe</w:t>
            </w:r>
            <w:r w:rsidR="0005131D">
              <w:rPr>
                <w:sz w:val="28"/>
                <w:szCs w:val="28"/>
                <w:lang w:val="ro-MD"/>
              </w:rPr>
              <w:t>lor</w:t>
            </w:r>
            <w:r w:rsidR="00CC3A2D" w:rsidRPr="00394B38">
              <w:rPr>
                <w:sz w:val="28"/>
                <w:szCs w:val="28"/>
                <w:lang w:val="ro-MD"/>
              </w:rPr>
              <w:t xml:space="preserve"> nr.1 </w:t>
            </w:r>
            <w:r w:rsidR="0068210C">
              <w:rPr>
                <w:sz w:val="28"/>
                <w:szCs w:val="28"/>
                <w:lang w:val="ro-MD"/>
              </w:rPr>
              <w:t xml:space="preserve">și </w:t>
            </w:r>
            <w:r w:rsidR="00CC3A2D" w:rsidRPr="00394B38">
              <w:rPr>
                <w:sz w:val="28"/>
                <w:szCs w:val="28"/>
                <w:lang w:val="ro-MD"/>
              </w:rPr>
              <w:t>nr.2,</w:t>
            </w:r>
            <w:r w:rsidRPr="00394B38">
              <w:rPr>
                <w:sz w:val="28"/>
                <w:szCs w:val="28"/>
                <w:lang w:val="ro-MD"/>
              </w:rPr>
              <w:t xml:space="preserve"> </w:t>
            </w:r>
            <w:r w:rsidR="00CC3A2D" w:rsidRPr="00394B38">
              <w:rPr>
                <w:sz w:val="28"/>
                <w:szCs w:val="28"/>
                <w:lang w:val="ro-MD"/>
              </w:rPr>
              <w:t>de către autoritatea de supraveghere conform Metodologi</w:t>
            </w:r>
            <w:r w:rsidR="00922FBB" w:rsidRPr="00394B38">
              <w:rPr>
                <w:sz w:val="28"/>
                <w:szCs w:val="28"/>
                <w:lang w:val="ro-MD"/>
              </w:rPr>
              <w:t>ei</w:t>
            </w:r>
            <w:r w:rsidR="00CC3A2D" w:rsidRPr="00394B38">
              <w:rPr>
                <w:sz w:val="28"/>
                <w:szCs w:val="28"/>
                <w:lang w:val="ro-MD"/>
              </w:rPr>
              <w:t xml:space="preserve"> unic</w:t>
            </w:r>
            <w:r w:rsidR="00922FBB" w:rsidRPr="00394B38">
              <w:rPr>
                <w:sz w:val="28"/>
                <w:szCs w:val="28"/>
                <w:lang w:val="ro-MD"/>
              </w:rPr>
              <w:t>e</w:t>
            </w:r>
            <w:r w:rsidR="00CC3A2D" w:rsidRPr="00394B38">
              <w:rPr>
                <w:sz w:val="28"/>
                <w:szCs w:val="28"/>
                <w:lang w:val="ro-MD"/>
              </w:rPr>
              <w:t xml:space="preserve"> de calcul a primei de asigurare de bază şi a </w:t>
            </w:r>
            <w:r w:rsidR="00922FBB" w:rsidRPr="00394B38">
              <w:rPr>
                <w:sz w:val="28"/>
                <w:szCs w:val="28"/>
                <w:lang w:val="ro-MD"/>
              </w:rPr>
              <w:t>coeficienților</w:t>
            </w:r>
            <w:r w:rsidR="00CC3A2D" w:rsidRPr="00394B38">
              <w:rPr>
                <w:sz w:val="28"/>
                <w:szCs w:val="28"/>
                <w:lang w:val="ro-MD"/>
              </w:rPr>
              <w:t xml:space="preserve"> de rectificare </w:t>
            </w:r>
            <w:r w:rsidR="00922FBB" w:rsidRPr="00394B38">
              <w:rPr>
                <w:sz w:val="28"/>
                <w:szCs w:val="28"/>
                <w:lang w:val="ro-MD"/>
              </w:rPr>
              <w:t>aferenți</w:t>
            </w:r>
            <w:r w:rsidR="00CC3A2D" w:rsidRPr="00394B38">
              <w:rPr>
                <w:sz w:val="28"/>
                <w:szCs w:val="28"/>
                <w:lang w:val="ro-MD"/>
              </w:rPr>
              <w:t xml:space="preserve"> asigurării obligatorii de răspundere civilă auto internă şi externă, aprobat</w:t>
            </w:r>
            <w:r w:rsidR="0005131D">
              <w:rPr>
                <w:sz w:val="28"/>
                <w:szCs w:val="28"/>
                <w:lang w:val="ro-MD"/>
              </w:rPr>
              <w:t>e</w:t>
            </w:r>
            <w:r w:rsidR="00CC3A2D" w:rsidRPr="00394B38">
              <w:rPr>
                <w:sz w:val="28"/>
                <w:szCs w:val="28"/>
                <w:lang w:val="ro-MD"/>
              </w:rPr>
              <w:t xml:space="preserve"> prin Hotărârea CNPF nr.</w:t>
            </w:r>
            <w:r w:rsidR="00922FBB" w:rsidRPr="00394B38">
              <w:rPr>
                <w:sz w:val="28"/>
                <w:szCs w:val="28"/>
                <w:lang w:val="ro-MD"/>
              </w:rPr>
              <w:t xml:space="preserve"> </w:t>
            </w:r>
            <w:r w:rsidR="00CC3A2D" w:rsidRPr="00394B38">
              <w:rPr>
                <w:sz w:val="28"/>
                <w:szCs w:val="28"/>
                <w:lang w:val="ro-MD"/>
              </w:rPr>
              <w:t>57/13</w:t>
            </w:r>
            <w:r w:rsidR="00922FBB" w:rsidRPr="00394B38">
              <w:rPr>
                <w:sz w:val="28"/>
                <w:szCs w:val="28"/>
                <w:lang w:val="ro-MD"/>
              </w:rPr>
              <w:t>/</w:t>
            </w:r>
            <w:r w:rsidR="00CC3A2D" w:rsidRPr="00394B38">
              <w:rPr>
                <w:sz w:val="28"/>
                <w:szCs w:val="28"/>
                <w:lang w:val="ro-MD"/>
              </w:rPr>
              <w:t>2018 (</w:t>
            </w:r>
            <w:r w:rsidR="00CC3A2D" w:rsidRPr="00394B38">
              <w:rPr>
                <w:i/>
                <w:iCs/>
                <w:sz w:val="28"/>
                <w:szCs w:val="28"/>
                <w:lang w:val="ro-MD"/>
              </w:rPr>
              <w:t>abrogată prin</w:t>
            </w:r>
            <w:r w:rsidR="00CC3A2D" w:rsidRPr="00394B38">
              <w:rPr>
                <w:i/>
                <w:iCs/>
              </w:rPr>
              <w:t xml:space="preserve"> </w:t>
            </w:r>
            <w:r w:rsidR="00CC3A2D" w:rsidRPr="00394B38">
              <w:rPr>
                <w:i/>
                <w:iCs/>
                <w:sz w:val="28"/>
                <w:szCs w:val="28"/>
                <w:lang w:val="ro-MD"/>
              </w:rPr>
              <w:t>Hotărârea CNPF nr. 31/2/2023),</w:t>
            </w:r>
            <w:r w:rsidR="00CC3A2D" w:rsidRPr="00394B38">
              <w:rPr>
                <w:sz w:val="28"/>
                <w:szCs w:val="28"/>
                <w:lang w:val="ro-MD"/>
              </w:rPr>
              <w:t xml:space="preserve"> </w:t>
            </w:r>
            <w:r w:rsidRPr="00394B38">
              <w:rPr>
                <w:sz w:val="28"/>
                <w:szCs w:val="28"/>
                <w:lang w:val="ro-MD"/>
              </w:rPr>
              <w:t>aplicat</w:t>
            </w:r>
            <w:r w:rsidR="00CC3A2D" w:rsidRPr="00394B38">
              <w:rPr>
                <w:sz w:val="28"/>
                <w:szCs w:val="28"/>
                <w:lang w:val="ro-MD"/>
              </w:rPr>
              <w:t>e</w:t>
            </w:r>
            <w:r w:rsidRPr="00394B38">
              <w:rPr>
                <w:sz w:val="28"/>
                <w:szCs w:val="28"/>
                <w:lang w:val="ro-MD"/>
              </w:rPr>
              <w:t xml:space="preserve"> în prezent de către societățile de asigurări</w:t>
            </w:r>
            <w:r w:rsidR="00CC3A2D" w:rsidRPr="00394B38">
              <w:rPr>
                <w:sz w:val="28"/>
                <w:szCs w:val="28"/>
                <w:lang w:val="ro-MD"/>
              </w:rPr>
              <w:t xml:space="preserve"> autorizate să practice asigurarea obligatorie de răspundere civilă auto</w:t>
            </w:r>
            <w:r w:rsidR="009578E9" w:rsidRPr="00394B38">
              <w:rPr>
                <w:sz w:val="28"/>
                <w:szCs w:val="28"/>
                <w:lang w:val="ro-MD"/>
              </w:rPr>
              <w:t>.</w:t>
            </w:r>
            <w:r w:rsidRPr="00394B38">
              <w:rPr>
                <w:sz w:val="28"/>
                <w:szCs w:val="28"/>
                <w:lang w:val="ro-MD"/>
              </w:rPr>
              <w:t xml:space="preserve"> </w:t>
            </w:r>
          </w:p>
          <w:p w14:paraId="0B1EFAC2" w14:textId="77777777" w:rsidR="00AC697D" w:rsidRPr="00394B38" w:rsidRDefault="00AC697D" w:rsidP="00E80124">
            <w:pPr>
              <w:jc w:val="both"/>
              <w:rPr>
                <w:sz w:val="28"/>
                <w:szCs w:val="28"/>
                <w:lang w:val="ro-MD"/>
              </w:rPr>
            </w:pPr>
          </w:p>
          <w:p w14:paraId="081D0903" w14:textId="4C572399" w:rsidR="00760963" w:rsidRPr="00394B38" w:rsidRDefault="009578E9" w:rsidP="00E80124">
            <w:pPr>
              <w:jc w:val="both"/>
              <w:rPr>
                <w:rFonts w:eastAsiaTheme="minorHAnsi"/>
                <w:sz w:val="28"/>
                <w:szCs w:val="28"/>
                <w:lang w:val="ro-MD"/>
              </w:rPr>
            </w:pPr>
            <w:r w:rsidRPr="00394B38">
              <w:rPr>
                <w:rFonts w:eastAsiaTheme="minorHAnsi"/>
                <w:sz w:val="28"/>
                <w:szCs w:val="28"/>
                <w:lang w:val="ro-MD"/>
              </w:rPr>
              <w:t>Astfel, î</w:t>
            </w:r>
            <w:r w:rsidR="00760963" w:rsidRPr="00394B38">
              <w:rPr>
                <w:rFonts w:eastAsiaTheme="minorHAnsi"/>
                <w:sz w:val="28"/>
                <w:szCs w:val="28"/>
                <w:lang w:val="ro-MD"/>
              </w:rPr>
              <w:t>n baza datelor statistice, pentru perioada 2018-2022, privind numărul polițelor-an expuse la risc, valoarea daunelor plătite și valoarea daunelor declarate, dar nesoluționate, pentru asigurarea obligatorie RCA internă și externă, conform formulelor de calcul indicate în Metodologie au fost calculați indicatorii care influențează nemijlocit cuantumul final al primei de bază, după cum urmează</w:t>
            </w:r>
            <w:r w:rsidR="00A32609">
              <w:rPr>
                <w:rFonts w:eastAsiaTheme="minorHAnsi"/>
                <w:sz w:val="28"/>
                <w:szCs w:val="28"/>
                <w:lang w:val="ro-MD"/>
              </w:rPr>
              <w:t>:</w:t>
            </w:r>
            <w:r w:rsidR="00760963" w:rsidRPr="00394B38">
              <w:rPr>
                <w:rFonts w:eastAsiaTheme="minorHAnsi"/>
                <w:sz w:val="28"/>
                <w:szCs w:val="28"/>
                <w:lang w:val="ro-MD"/>
              </w:rPr>
              <w:t xml:space="preserve"> </w:t>
            </w:r>
          </w:p>
          <w:p w14:paraId="5CEF669E" w14:textId="77777777" w:rsidR="00760963" w:rsidRPr="00394B38" w:rsidRDefault="00760963" w:rsidP="00E80124">
            <w:pPr>
              <w:jc w:val="center"/>
              <w:rPr>
                <w:rFonts w:eastAsiaTheme="minorHAnsi"/>
                <w:b/>
                <w:lang w:val="ro-MD"/>
              </w:rPr>
            </w:pPr>
          </w:p>
          <w:p w14:paraId="6740B3E2" w14:textId="77777777" w:rsidR="00760963" w:rsidRPr="00394B38" w:rsidRDefault="00760963" w:rsidP="00E80124">
            <w:pPr>
              <w:jc w:val="center"/>
              <w:rPr>
                <w:rFonts w:eastAsiaTheme="minorHAnsi"/>
                <w:b/>
                <w:sz w:val="28"/>
                <w:szCs w:val="28"/>
                <w:lang w:val="ro-MD"/>
              </w:rPr>
            </w:pPr>
            <w:r w:rsidRPr="00394B38">
              <w:rPr>
                <w:rFonts w:eastAsiaTheme="minorHAnsi"/>
                <w:b/>
                <w:sz w:val="28"/>
                <w:szCs w:val="28"/>
                <w:lang w:val="ro-MD"/>
              </w:rPr>
              <w:t>Indicatorii aferenți calculului pentru asigurarea RCA internă</w:t>
            </w:r>
          </w:p>
          <w:p w14:paraId="3841C1F0" w14:textId="77777777" w:rsidR="00760963" w:rsidRPr="00394B38" w:rsidRDefault="00760963" w:rsidP="00E80124">
            <w:pPr>
              <w:jc w:val="center"/>
              <w:rPr>
                <w:rFonts w:eastAsiaTheme="minorHAnsi"/>
                <w:b/>
                <w:lang w:val="ro-MD"/>
              </w:rPr>
            </w:pPr>
          </w:p>
          <w:tbl>
            <w:tblPr>
              <w:tblW w:w="8686" w:type="dxa"/>
              <w:tblLook w:val="04A0" w:firstRow="1" w:lastRow="0" w:firstColumn="1" w:lastColumn="0" w:noHBand="0" w:noVBand="1"/>
            </w:tblPr>
            <w:tblGrid>
              <w:gridCol w:w="609"/>
              <w:gridCol w:w="4415"/>
              <w:gridCol w:w="1098"/>
              <w:gridCol w:w="1117"/>
              <w:gridCol w:w="1447"/>
            </w:tblGrid>
            <w:tr w:rsidR="00394B38" w:rsidRPr="00394B38" w14:paraId="0FD863E8" w14:textId="77777777" w:rsidTr="00D3210A">
              <w:trPr>
                <w:trHeight w:val="462"/>
              </w:trPr>
              <w:tc>
                <w:tcPr>
                  <w:tcW w:w="6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9F00D" w14:textId="77777777" w:rsidR="00760963" w:rsidRPr="00394B38" w:rsidRDefault="00760963" w:rsidP="00E80124">
                  <w:pPr>
                    <w:rPr>
                      <w:rFonts w:eastAsiaTheme="minorHAnsi"/>
                      <w:b/>
                      <w:bCs/>
                      <w:sz w:val="20"/>
                      <w:szCs w:val="20"/>
                      <w:lang w:val="ro-MD"/>
                    </w:rPr>
                  </w:pPr>
                  <w:r w:rsidRPr="00394B38">
                    <w:rPr>
                      <w:rFonts w:eastAsiaTheme="minorHAnsi"/>
                      <w:b/>
                      <w:bCs/>
                      <w:sz w:val="20"/>
                      <w:szCs w:val="20"/>
                      <w:lang w:val="ro-MD"/>
                    </w:rPr>
                    <w:t>Nr. d/o</w:t>
                  </w:r>
                </w:p>
              </w:tc>
              <w:tc>
                <w:tcPr>
                  <w:tcW w:w="4415" w:type="dxa"/>
                  <w:tcBorders>
                    <w:top w:val="single" w:sz="4" w:space="0" w:color="auto"/>
                    <w:left w:val="nil"/>
                    <w:bottom w:val="single" w:sz="4" w:space="0" w:color="auto"/>
                    <w:right w:val="single" w:sz="4" w:space="0" w:color="auto"/>
                  </w:tcBorders>
                  <w:shd w:val="clear" w:color="000000" w:fill="FFFFFF"/>
                  <w:vAlign w:val="center"/>
                  <w:hideMark/>
                </w:tcPr>
                <w:p w14:paraId="713AF0B8"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Denumirea indicatorului</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14:paraId="7D31C66A"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Cod</w:t>
                  </w:r>
                </w:p>
              </w:tc>
              <w:tc>
                <w:tcPr>
                  <w:tcW w:w="1117" w:type="dxa"/>
                  <w:tcBorders>
                    <w:top w:val="single" w:sz="4" w:space="0" w:color="auto"/>
                    <w:left w:val="nil"/>
                    <w:bottom w:val="single" w:sz="4" w:space="0" w:color="auto"/>
                    <w:right w:val="single" w:sz="4" w:space="0" w:color="auto"/>
                  </w:tcBorders>
                  <w:shd w:val="clear" w:color="000000" w:fill="FFFFFF"/>
                  <w:vAlign w:val="center"/>
                </w:tcPr>
                <w:p w14:paraId="7995CF35"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Unitate de măsură</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B2A74" w14:textId="77777777" w:rsidR="00760963" w:rsidRPr="00394B38" w:rsidRDefault="00760963" w:rsidP="00E80124">
                  <w:pPr>
                    <w:rPr>
                      <w:rFonts w:eastAsiaTheme="minorHAnsi"/>
                      <w:b/>
                      <w:bCs/>
                      <w:sz w:val="20"/>
                      <w:szCs w:val="20"/>
                      <w:lang w:val="ro-MD"/>
                    </w:rPr>
                  </w:pPr>
                  <w:r w:rsidRPr="00394B38">
                    <w:rPr>
                      <w:rFonts w:eastAsiaTheme="minorHAnsi"/>
                      <w:b/>
                      <w:bCs/>
                      <w:sz w:val="20"/>
                      <w:szCs w:val="20"/>
                      <w:lang w:val="ro-MD"/>
                    </w:rPr>
                    <w:t xml:space="preserve">Valoarea indicatorului    </w:t>
                  </w:r>
                </w:p>
              </w:tc>
            </w:tr>
            <w:tr w:rsidR="00394B38" w:rsidRPr="00394B38" w14:paraId="3867564A"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B7D84D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lastRenderedPageBreak/>
                    <w:t>1</w:t>
                  </w:r>
                </w:p>
              </w:tc>
              <w:tc>
                <w:tcPr>
                  <w:tcW w:w="4415" w:type="dxa"/>
                  <w:tcBorders>
                    <w:top w:val="nil"/>
                    <w:left w:val="nil"/>
                    <w:bottom w:val="single" w:sz="4" w:space="0" w:color="auto"/>
                    <w:right w:val="single" w:sz="4" w:space="0" w:color="auto"/>
                  </w:tcBorders>
                  <w:shd w:val="clear" w:color="000000" w:fill="FFFFFF"/>
                  <w:vAlign w:val="center"/>
                  <w:hideMark/>
                </w:tcPr>
                <w:p w14:paraId="195EEB01"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Numărul de polițe-an expuse la risc </w:t>
                  </w:r>
                </w:p>
              </w:tc>
              <w:tc>
                <w:tcPr>
                  <w:tcW w:w="1098" w:type="dxa"/>
                  <w:tcBorders>
                    <w:top w:val="nil"/>
                    <w:left w:val="nil"/>
                    <w:bottom w:val="single" w:sz="4" w:space="0" w:color="auto"/>
                    <w:right w:val="single" w:sz="4" w:space="0" w:color="auto"/>
                  </w:tcBorders>
                  <w:shd w:val="clear" w:color="000000" w:fill="FFFFFF"/>
                  <w:noWrap/>
                  <w:vAlign w:val="center"/>
                  <w:hideMark/>
                </w:tcPr>
                <w:p w14:paraId="696A3B3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w:t>
                  </w:r>
                </w:p>
              </w:tc>
              <w:tc>
                <w:tcPr>
                  <w:tcW w:w="1117" w:type="dxa"/>
                  <w:tcBorders>
                    <w:top w:val="nil"/>
                    <w:left w:val="nil"/>
                    <w:bottom w:val="single" w:sz="4" w:space="0" w:color="auto"/>
                    <w:right w:val="single" w:sz="4" w:space="0" w:color="auto"/>
                  </w:tcBorders>
                  <w:shd w:val="clear" w:color="000000" w:fill="FFFFFF"/>
                  <w:vAlign w:val="center"/>
                </w:tcPr>
                <w:p w14:paraId="2B6F5DA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8252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3 024 348</w:t>
                  </w:r>
                </w:p>
              </w:tc>
            </w:tr>
            <w:tr w:rsidR="00394B38" w:rsidRPr="00394B38" w14:paraId="517D7EF4" w14:textId="77777777" w:rsidTr="00D3210A">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F662308"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w:t>
                  </w:r>
                </w:p>
              </w:tc>
              <w:tc>
                <w:tcPr>
                  <w:tcW w:w="4415" w:type="dxa"/>
                  <w:tcBorders>
                    <w:top w:val="nil"/>
                    <w:left w:val="nil"/>
                    <w:bottom w:val="single" w:sz="4" w:space="0" w:color="auto"/>
                    <w:right w:val="single" w:sz="4" w:space="0" w:color="auto"/>
                  </w:tcBorders>
                  <w:shd w:val="clear" w:color="000000" w:fill="FFFFFF"/>
                  <w:vAlign w:val="center"/>
                  <w:hideMark/>
                </w:tcPr>
                <w:p w14:paraId="3C5AD50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Numărul de polițe-an expuse la risc pentru anul următor</w:t>
                  </w:r>
                </w:p>
              </w:tc>
              <w:tc>
                <w:tcPr>
                  <w:tcW w:w="1098" w:type="dxa"/>
                  <w:tcBorders>
                    <w:top w:val="nil"/>
                    <w:left w:val="nil"/>
                    <w:bottom w:val="single" w:sz="4" w:space="0" w:color="auto"/>
                    <w:right w:val="single" w:sz="4" w:space="0" w:color="auto"/>
                  </w:tcBorders>
                  <w:shd w:val="clear" w:color="000000" w:fill="FFFFFF"/>
                  <w:noWrap/>
                  <w:vAlign w:val="center"/>
                  <w:hideMark/>
                </w:tcPr>
                <w:p w14:paraId="03AC4A5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w:t>
                  </w:r>
                  <w:r w:rsidRPr="00394B38">
                    <w:rPr>
                      <w:rFonts w:eastAsiaTheme="minorHAnsi"/>
                      <w:sz w:val="16"/>
                      <w:szCs w:val="16"/>
                      <w:lang w:val="ro-MD"/>
                    </w:rPr>
                    <w:t>h</w:t>
                  </w:r>
                </w:p>
              </w:tc>
              <w:tc>
                <w:tcPr>
                  <w:tcW w:w="1117" w:type="dxa"/>
                  <w:tcBorders>
                    <w:top w:val="nil"/>
                    <w:left w:val="nil"/>
                    <w:bottom w:val="single" w:sz="4" w:space="0" w:color="auto"/>
                    <w:right w:val="single" w:sz="4" w:space="0" w:color="auto"/>
                  </w:tcBorders>
                  <w:shd w:val="clear" w:color="000000" w:fill="FFFFFF"/>
                  <w:vAlign w:val="center"/>
                </w:tcPr>
                <w:p w14:paraId="03AC8D5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p w14:paraId="0DB678F4" w14:textId="77777777" w:rsidR="00760963" w:rsidRPr="00394B38" w:rsidRDefault="00760963" w:rsidP="00E80124">
                  <w:pPr>
                    <w:jc w:val="center"/>
                    <w:rPr>
                      <w:rFonts w:eastAsiaTheme="minorHAnsi"/>
                      <w:sz w:val="20"/>
                      <w:szCs w:val="20"/>
                      <w:lang w:val="ro-MD"/>
                    </w:rPr>
                  </w:pP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AED4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653 043</w:t>
                  </w:r>
                </w:p>
              </w:tc>
            </w:tr>
            <w:tr w:rsidR="00394B38" w:rsidRPr="00394B38" w14:paraId="666012FE"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67C3F6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3</w:t>
                  </w:r>
                </w:p>
              </w:tc>
              <w:tc>
                <w:tcPr>
                  <w:tcW w:w="4415" w:type="dxa"/>
                  <w:tcBorders>
                    <w:top w:val="nil"/>
                    <w:left w:val="nil"/>
                    <w:bottom w:val="single" w:sz="4" w:space="0" w:color="auto"/>
                    <w:right w:val="single" w:sz="4" w:space="0" w:color="auto"/>
                  </w:tcBorders>
                  <w:shd w:val="clear" w:color="000000" w:fill="FFFFFF"/>
                  <w:vAlign w:val="center"/>
                  <w:hideMark/>
                </w:tcPr>
                <w:p w14:paraId="7798B69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Numărul de daune aferente polițelor expuse la risc</w:t>
                  </w:r>
                </w:p>
              </w:tc>
              <w:tc>
                <w:tcPr>
                  <w:tcW w:w="1098" w:type="dxa"/>
                  <w:tcBorders>
                    <w:top w:val="nil"/>
                    <w:left w:val="nil"/>
                    <w:bottom w:val="single" w:sz="4" w:space="0" w:color="auto"/>
                    <w:right w:val="single" w:sz="4" w:space="0" w:color="auto"/>
                  </w:tcBorders>
                  <w:shd w:val="clear" w:color="000000" w:fill="FFFFFF"/>
                  <w:noWrap/>
                  <w:vAlign w:val="center"/>
                  <w:hideMark/>
                </w:tcPr>
                <w:p w14:paraId="38A2BCB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w:t>
                  </w:r>
                </w:p>
              </w:tc>
              <w:tc>
                <w:tcPr>
                  <w:tcW w:w="1117" w:type="dxa"/>
                  <w:tcBorders>
                    <w:top w:val="nil"/>
                    <w:left w:val="nil"/>
                    <w:bottom w:val="single" w:sz="4" w:space="0" w:color="auto"/>
                    <w:right w:val="single" w:sz="4" w:space="0" w:color="auto"/>
                  </w:tcBorders>
                  <w:shd w:val="clear" w:color="000000" w:fill="FFFFFF"/>
                  <w:vAlign w:val="center"/>
                </w:tcPr>
                <w:p w14:paraId="562D9E5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p w14:paraId="2F20CA8C" w14:textId="77777777" w:rsidR="00760963" w:rsidRPr="00394B38" w:rsidRDefault="00760963" w:rsidP="00E80124">
                  <w:pPr>
                    <w:jc w:val="center"/>
                    <w:rPr>
                      <w:rFonts w:eastAsiaTheme="minorHAnsi"/>
                      <w:sz w:val="20"/>
                      <w:szCs w:val="20"/>
                      <w:lang w:val="ro-MD"/>
                    </w:rPr>
                  </w:pP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72D4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76 979</w:t>
                  </w:r>
                </w:p>
              </w:tc>
            </w:tr>
            <w:tr w:rsidR="00394B38" w:rsidRPr="00394B38" w14:paraId="1F31CAC8"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EC5883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4</w:t>
                  </w:r>
                </w:p>
              </w:tc>
              <w:tc>
                <w:tcPr>
                  <w:tcW w:w="4415" w:type="dxa"/>
                  <w:tcBorders>
                    <w:top w:val="nil"/>
                    <w:left w:val="nil"/>
                    <w:bottom w:val="single" w:sz="4" w:space="0" w:color="auto"/>
                    <w:right w:val="single" w:sz="4" w:space="0" w:color="auto"/>
                  </w:tcBorders>
                  <w:shd w:val="clear" w:color="000000" w:fill="FFFFFF"/>
                  <w:vAlign w:val="center"/>
                  <w:hideMark/>
                </w:tcPr>
                <w:p w14:paraId="4B06AB8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Frecvența daunelor</w:t>
                  </w:r>
                </w:p>
              </w:tc>
              <w:tc>
                <w:tcPr>
                  <w:tcW w:w="1098" w:type="dxa"/>
                  <w:tcBorders>
                    <w:top w:val="nil"/>
                    <w:left w:val="nil"/>
                    <w:bottom w:val="single" w:sz="4" w:space="0" w:color="auto"/>
                    <w:right w:val="single" w:sz="4" w:space="0" w:color="auto"/>
                  </w:tcBorders>
                  <w:shd w:val="clear" w:color="000000" w:fill="FFFFFF"/>
                  <w:noWrap/>
                  <w:vAlign w:val="center"/>
                  <w:hideMark/>
                </w:tcPr>
                <w:p w14:paraId="59EFFB5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Q</w:t>
                  </w:r>
                </w:p>
              </w:tc>
              <w:tc>
                <w:tcPr>
                  <w:tcW w:w="1117" w:type="dxa"/>
                  <w:tcBorders>
                    <w:top w:val="nil"/>
                    <w:left w:val="nil"/>
                    <w:bottom w:val="single" w:sz="4" w:space="0" w:color="auto"/>
                    <w:right w:val="single" w:sz="4" w:space="0" w:color="auto"/>
                  </w:tcBorders>
                  <w:shd w:val="clear" w:color="000000" w:fill="FFFFFF"/>
                  <w:vAlign w:val="center"/>
                </w:tcPr>
                <w:p w14:paraId="668A1E8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13C4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2,5453%</w:t>
                  </w:r>
                </w:p>
              </w:tc>
            </w:tr>
            <w:tr w:rsidR="00394B38" w:rsidRPr="00394B38" w14:paraId="747F1391"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43D187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5</w:t>
                  </w:r>
                </w:p>
              </w:tc>
              <w:tc>
                <w:tcPr>
                  <w:tcW w:w="4415" w:type="dxa"/>
                  <w:tcBorders>
                    <w:top w:val="nil"/>
                    <w:left w:val="nil"/>
                    <w:bottom w:val="single" w:sz="4" w:space="0" w:color="auto"/>
                    <w:right w:val="single" w:sz="4" w:space="0" w:color="auto"/>
                  </w:tcBorders>
                  <w:shd w:val="clear" w:color="000000" w:fill="FFFFFF"/>
                  <w:vAlign w:val="center"/>
                  <w:hideMark/>
                </w:tcPr>
                <w:p w14:paraId="46E0AE2D"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Valoarea daunelor plătite (în baza registrelor prezentate)</w:t>
                  </w:r>
                </w:p>
              </w:tc>
              <w:tc>
                <w:tcPr>
                  <w:tcW w:w="1098" w:type="dxa"/>
                  <w:tcBorders>
                    <w:top w:val="nil"/>
                    <w:left w:val="nil"/>
                    <w:bottom w:val="single" w:sz="4" w:space="0" w:color="auto"/>
                    <w:right w:val="single" w:sz="4" w:space="0" w:color="auto"/>
                  </w:tcBorders>
                  <w:shd w:val="clear" w:color="000000" w:fill="FFFFFF"/>
                  <w:noWrap/>
                  <w:vAlign w:val="center"/>
                  <w:hideMark/>
                </w:tcPr>
                <w:p w14:paraId="3486D47B"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DP</w:t>
                  </w:r>
                </w:p>
              </w:tc>
              <w:tc>
                <w:tcPr>
                  <w:tcW w:w="1117" w:type="dxa"/>
                  <w:tcBorders>
                    <w:top w:val="nil"/>
                    <w:left w:val="nil"/>
                    <w:bottom w:val="single" w:sz="4" w:space="0" w:color="auto"/>
                    <w:right w:val="single" w:sz="4" w:space="0" w:color="auto"/>
                  </w:tcBorders>
                  <w:shd w:val="clear" w:color="000000" w:fill="FFFFFF"/>
                  <w:vAlign w:val="center"/>
                </w:tcPr>
                <w:p w14:paraId="33924E3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09F6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1 148 669 676</w:t>
                  </w:r>
                </w:p>
              </w:tc>
            </w:tr>
            <w:tr w:rsidR="00394B38" w:rsidRPr="00394B38" w14:paraId="592D716A" w14:textId="77777777" w:rsidTr="00D3210A">
              <w:trPr>
                <w:trHeight w:val="47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A1E9EE1"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6</w:t>
                  </w:r>
                </w:p>
              </w:tc>
              <w:tc>
                <w:tcPr>
                  <w:tcW w:w="4415" w:type="dxa"/>
                  <w:tcBorders>
                    <w:top w:val="nil"/>
                    <w:left w:val="nil"/>
                    <w:bottom w:val="single" w:sz="4" w:space="0" w:color="auto"/>
                    <w:right w:val="single" w:sz="4" w:space="0" w:color="auto"/>
                  </w:tcBorders>
                  <w:shd w:val="clear" w:color="000000" w:fill="FFFFFF"/>
                  <w:vAlign w:val="center"/>
                  <w:hideMark/>
                </w:tcPr>
                <w:p w14:paraId="13C20BA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Valoarea rezervei daunelor declarate, dar nesoluționate (în baza registrelor prezentate)</w:t>
                  </w:r>
                </w:p>
              </w:tc>
              <w:tc>
                <w:tcPr>
                  <w:tcW w:w="1098" w:type="dxa"/>
                  <w:tcBorders>
                    <w:top w:val="nil"/>
                    <w:left w:val="nil"/>
                    <w:bottom w:val="single" w:sz="4" w:space="0" w:color="auto"/>
                    <w:right w:val="single" w:sz="4" w:space="0" w:color="auto"/>
                  </w:tcBorders>
                  <w:shd w:val="clear" w:color="000000" w:fill="FFFFFF"/>
                  <w:noWrap/>
                  <w:vAlign w:val="center"/>
                  <w:hideMark/>
                </w:tcPr>
                <w:p w14:paraId="164617C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RDDN</w:t>
                  </w:r>
                </w:p>
              </w:tc>
              <w:tc>
                <w:tcPr>
                  <w:tcW w:w="1117" w:type="dxa"/>
                  <w:tcBorders>
                    <w:top w:val="nil"/>
                    <w:left w:val="nil"/>
                    <w:bottom w:val="single" w:sz="4" w:space="0" w:color="auto"/>
                    <w:right w:val="single" w:sz="4" w:space="0" w:color="auto"/>
                  </w:tcBorders>
                  <w:shd w:val="clear" w:color="000000" w:fill="FFFFFF"/>
                  <w:vAlign w:val="center"/>
                </w:tcPr>
                <w:p w14:paraId="1A0B0EC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2A7D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85 372 591</w:t>
                  </w:r>
                </w:p>
              </w:tc>
            </w:tr>
            <w:tr w:rsidR="00394B38" w:rsidRPr="00394B38" w14:paraId="6AD4802F"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F64E3F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7</w:t>
                  </w:r>
                </w:p>
              </w:tc>
              <w:tc>
                <w:tcPr>
                  <w:tcW w:w="4415" w:type="dxa"/>
                  <w:tcBorders>
                    <w:top w:val="nil"/>
                    <w:left w:val="nil"/>
                    <w:bottom w:val="single" w:sz="4" w:space="0" w:color="auto"/>
                    <w:right w:val="single" w:sz="4" w:space="0" w:color="auto"/>
                  </w:tcBorders>
                  <w:shd w:val="clear" w:color="000000" w:fill="FFFFFF"/>
                  <w:vAlign w:val="center"/>
                  <w:hideMark/>
                </w:tcPr>
                <w:p w14:paraId="1C899F18"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Valoarea rezervei daunelor neavizate </w:t>
                  </w:r>
                </w:p>
              </w:tc>
              <w:tc>
                <w:tcPr>
                  <w:tcW w:w="1098" w:type="dxa"/>
                  <w:tcBorders>
                    <w:top w:val="nil"/>
                    <w:left w:val="nil"/>
                    <w:bottom w:val="single" w:sz="4" w:space="0" w:color="auto"/>
                    <w:right w:val="single" w:sz="4" w:space="0" w:color="auto"/>
                  </w:tcBorders>
                  <w:shd w:val="clear" w:color="000000" w:fill="FFFFFF"/>
                  <w:noWrap/>
                  <w:vAlign w:val="center"/>
                  <w:hideMark/>
                </w:tcPr>
                <w:p w14:paraId="66A92FF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RDN</w:t>
                  </w:r>
                </w:p>
              </w:tc>
              <w:tc>
                <w:tcPr>
                  <w:tcW w:w="1117" w:type="dxa"/>
                  <w:tcBorders>
                    <w:top w:val="nil"/>
                    <w:left w:val="nil"/>
                    <w:bottom w:val="single" w:sz="4" w:space="0" w:color="auto"/>
                    <w:right w:val="single" w:sz="4" w:space="0" w:color="auto"/>
                  </w:tcBorders>
                  <w:shd w:val="clear" w:color="000000" w:fill="FFFFFF"/>
                  <w:vAlign w:val="center"/>
                </w:tcPr>
                <w:p w14:paraId="03A0EA5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A275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113 844 072</w:t>
                  </w:r>
                </w:p>
              </w:tc>
            </w:tr>
            <w:tr w:rsidR="00394B38" w:rsidRPr="00394B38" w14:paraId="17D6CC0D" w14:textId="77777777" w:rsidTr="00D3210A">
              <w:trPr>
                <w:trHeight w:val="651"/>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54678C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8</w:t>
                  </w:r>
                </w:p>
              </w:tc>
              <w:tc>
                <w:tcPr>
                  <w:tcW w:w="4415" w:type="dxa"/>
                  <w:tcBorders>
                    <w:top w:val="nil"/>
                    <w:left w:val="nil"/>
                    <w:bottom w:val="single" w:sz="4" w:space="0" w:color="auto"/>
                    <w:right w:val="single" w:sz="4" w:space="0" w:color="auto"/>
                  </w:tcBorders>
                  <w:shd w:val="clear" w:color="000000" w:fill="FFFFFF"/>
                  <w:vAlign w:val="center"/>
                  <w:hideMark/>
                </w:tcPr>
                <w:p w14:paraId="2B93F46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Valoarea totală a daunelor mari avizate aferente cazurilor de asigurare excluse din calculul valorii medii a daunelor și varianței daunelor</w:t>
                  </w:r>
                </w:p>
              </w:tc>
              <w:tc>
                <w:tcPr>
                  <w:tcW w:w="1098" w:type="dxa"/>
                  <w:tcBorders>
                    <w:top w:val="nil"/>
                    <w:left w:val="nil"/>
                    <w:bottom w:val="single" w:sz="4" w:space="0" w:color="auto"/>
                    <w:right w:val="single" w:sz="4" w:space="0" w:color="auto"/>
                  </w:tcBorders>
                  <w:shd w:val="clear" w:color="000000" w:fill="FFFFFF"/>
                  <w:noWrap/>
                  <w:vAlign w:val="center"/>
                  <w:hideMark/>
                </w:tcPr>
                <w:p w14:paraId="661427B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DMP</w:t>
                  </w:r>
                </w:p>
              </w:tc>
              <w:tc>
                <w:tcPr>
                  <w:tcW w:w="1117" w:type="dxa"/>
                  <w:tcBorders>
                    <w:top w:val="nil"/>
                    <w:left w:val="nil"/>
                    <w:bottom w:val="single" w:sz="4" w:space="0" w:color="auto"/>
                    <w:right w:val="single" w:sz="4" w:space="0" w:color="auto"/>
                  </w:tcBorders>
                  <w:shd w:val="clear" w:color="000000" w:fill="FFFFFF"/>
                  <w:vAlign w:val="center"/>
                </w:tcPr>
                <w:p w14:paraId="2E43E9C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C3268" w14:textId="51FBBCFA"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156</w:t>
                  </w:r>
                  <w:r w:rsidR="00EF4C1D" w:rsidRPr="00394B38">
                    <w:rPr>
                      <w:rFonts w:eastAsiaTheme="minorHAnsi"/>
                      <w:sz w:val="20"/>
                      <w:szCs w:val="20"/>
                      <w:lang w:val="ro-MD"/>
                    </w:rPr>
                    <w:t xml:space="preserve"> </w:t>
                  </w:r>
                  <w:r w:rsidRPr="00394B38">
                    <w:rPr>
                      <w:rFonts w:eastAsiaTheme="minorHAnsi"/>
                      <w:sz w:val="20"/>
                      <w:szCs w:val="20"/>
                      <w:lang w:val="ro-MD"/>
                    </w:rPr>
                    <w:t>026</w:t>
                  </w:r>
                  <w:r w:rsidR="00EF4C1D" w:rsidRPr="00394B38">
                    <w:rPr>
                      <w:rFonts w:eastAsiaTheme="minorHAnsi"/>
                      <w:sz w:val="20"/>
                      <w:szCs w:val="20"/>
                      <w:lang w:val="ro-MD"/>
                    </w:rPr>
                    <w:t xml:space="preserve"> </w:t>
                  </w:r>
                  <w:r w:rsidRPr="00394B38">
                    <w:rPr>
                      <w:rFonts w:eastAsiaTheme="minorHAnsi"/>
                      <w:sz w:val="20"/>
                      <w:szCs w:val="20"/>
                      <w:lang w:val="ro-MD"/>
                    </w:rPr>
                    <w:t>932</w:t>
                  </w:r>
                </w:p>
              </w:tc>
            </w:tr>
            <w:tr w:rsidR="00394B38" w:rsidRPr="00394B38" w14:paraId="71C160B8" w14:textId="77777777" w:rsidTr="00D3210A">
              <w:trPr>
                <w:trHeight w:val="279"/>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65EC36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9</w:t>
                  </w:r>
                </w:p>
              </w:tc>
              <w:tc>
                <w:tcPr>
                  <w:tcW w:w="4415" w:type="dxa"/>
                  <w:tcBorders>
                    <w:top w:val="nil"/>
                    <w:left w:val="nil"/>
                    <w:bottom w:val="single" w:sz="4" w:space="0" w:color="auto"/>
                    <w:right w:val="single" w:sz="4" w:space="0" w:color="auto"/>
                  </w:tcBorders>
                  <w:shd w:val="clear" w:color="000000" w:fill="FFFFFF"/>
                  <w:vAlign w:val="center"/>
                  <w:hideMark/>
                </w:tcPr>
                <w:p w14:paraId="1C7AEE2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Dauna medie estimată</w:t>
                  </w:r>
                </w:p>
              </w:tc>
              <w:tc>
                <w:tcPr>
                  <w:tcW w:w="1098" w:type="dxa"/>
                  <w:tcBorders>
                    <w:top w:val="nil"/>
                    <w:left w:val="nil"/>
                    <w:bottom w:val="single" w:sz="4" w:space="0" w:color="auto"/>
                    <w:right w:val="single" w:sz="4" w:space="0" w:color="auto"/>
                  </w:tcBorders>
                  <w:shd w:val="clear" w:color="000000" w:fill="FFFFFF"/>
                  <w:noWrap/>
                  <w:vAlign w:val="center"/>
                  <w:hideMark/>
                </w:tcPr>
                <w:p w14:paraId="330E4C2B"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D</w:t>
                  </w:r>
                  <w:r w:rsidRPr="00394B38">
                    <w:rPr>
                      <w:rFonts w:eastAsiaTheme="minorHAnsi"/>
                      <w:sz w:val="16"/>
                      <w:szCs w:val="16"/>
                      <w:lang w:val="ro-MD"/>
                    </w:rPr>
                    <w:t>medie</w:t>
                  </w:r>
                </w:p>
              </w:tc>
              <w:tc>
                <w:tcPr>
                  <w:tcW w:w="1117" w:type="dxa"/>
                  <w:tcBorders>
                    <w:top w:val="nil"/>
                    <w:left w:val="nil"/>
                    <w:bottom w:val="single" w:sz="4" w:space="0" w:color="auto"/>
                    <w:right w:val="single" w:sz="4" w:space="0" w:color="auto"/>
                  </w:tcBorders>
                  <w:shd w:val="clear" w:color="000000" w:fill="FFFFFF"/>
                  <w:vAlign w:val="center"/>
                </w:tcPr>
                <w:p w14:paraId="468CE1D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0D53E" w14:textId="70A0327C"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14</w:t>
                  </w:r>
                  <w:r w:rsidR="00EF4C1D" w:rsidRPr="00394B38">
                    <w:rPr>
                      <w:rFonts w:eastAsiaTheme="minorHAnsi"/>
                      <w:sz w:val="20"/>
                      <w:szCs w:val="20"/>
                      <w:lang w:val="ro-MD"/>
                    </w:rPr>
                    <w:t xml:space="preserve"> </w:t>
                  </w:r>
                  <w:r w:rsidRPr="00394B38">
                    <w:rPr>
                      <w:rFonts w:eastAsiaTheme="minorHAnsi"/>
                      <w:sz w:val="20"/>
                      <w:szCs w:val="20"/>
                      <w:lang w:val="ro-MD"/>
                    </w:rPr>
                    <w:t>198,60</w:t>
                  </w:r>
                </w:p>
              </w:tc>
            </w:tr>
            <w:tr w:rsidR="00394B38" w:rsidRPr="00394B38" w14:paraId="55636A2B" w14:textId="77777777" w:rsidTr="00D3210A">
              <w:trPr>
                <w:trHeight w:val="186"/>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2A871B3"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10</w:t>
                  </w:r>
                </w:p>
              </w:tc>
              <w:tc>
                <w:tcPr>
                  <w:tcW w:w="4415" w:type="dxa"/>
                  <w:tcBorders>
                    <w:top w:val="nil"/>
                    <w:left w:val="nil"/>
                    <w:bottom w:val="single" w:sz="4" w:space="0" w:color="auto"/>
                    <w:right w:val="single" w:sz="4" w:space="0" w:color="auto"/>
                  </w:tcBorders>
                  <w:shd w:val="clear" w:color="000000" w:fill="FFFFFF"/>
                  <w:vAlign w:val="center"/>
                  <w:hideMark/>
                </w:tcPr>
                <w:p w14:paraId="331EA76F"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Valoarea medie a daunelor </w:t>
                  </w:r>
                </w:p>
              </w:tc>
              <w:tc>
                <w:tcPr>
                  <w:tcW w:w="1098" w:type="dxa"/>
                  <w:tcBorders>
                    <w:top w:val="nil"/>
                    <w:left w:val="nil"/>
                    <w:bottom w:val="single" w:sz="4" w:space="0" w:color="auto"/>
                    <w:right w:val="single" w:sz="4" w:space="0" w:color="auto"/>
                  </w:tcBorders>
                  <w:shd w:val="clear" w:color="000000" w:fill="FFFFFF"/>
                  <w:noWrap/>
                  <w:vAlign w:val="center"/>
                  <w:hideMark/>
                </w:tcPr>
                <w:p w14:paraId="3A0A2B2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µ</w:t>
                  </w:r>
                </w:p>
              </w:tc>
              <w:tc>
                <w:tcPr>
                  <w:tcW w:w="1117" w:type="dxa"/>
                  <w:tcBorders>
                    <w:top w:val="nil"/>
                    <w:left w:val="nil"/>
                    <w:bottom w:val="single" w:sz="4" w:space="0" w:color="auto"/>
                    <w:right w:val="single" w:sz="4" w:space="0" w:color="auto"/>
                  </w:tcBorders>
                  <w:shd w:val="clear" w:color="000000" w:fill="FFFFFF"/>
                  <w:vAlign w:val="center"/>
                </w:tcPr>
                <w:p w14:paraId="3325A11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13B0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8,9638</w:t>
                  </w:r>
                </w:p>
              </w:tc>
            </w:tr>
            <w:tr w:rsidR="00394B38" w:rsidRPr="00394B38" w14:paraId="6123B961" w14:textId="77777777" w:rsidTr="00D3210A">
              <w:trPr>
                <w:trHeight w:val="148"/>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1ECC48B"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11</w:t>
                  </w:r>
                </w:p>
              </w:tc>
              <w:tc>
                <w:tcPr>
                  <w:tcW w:w="4415" w:type="dxa"/>
                  <w:tcBorders>
                    <w:top w:val="nil"/>
                    <w:left w:val="nil"/>
                    <w:bottom w:val="single" w:sz="4" w:space="0" w:color="auto"/>
                    <w:right w:val="single" w:sz="4" w:space="0" w:color="auto"/>
                  </w:tcBorders>
                  <w:shd w:val="clear" w:color="000000" w:fill="FFFFFF"/>
                  <w:vAlign w:val="center"/>
                  <w:hideMark/>
                </w:tcPr>
                <w:p w14:paraId="533CE8E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Eroarea standard</w:t>
                  </w:r>
                </w:p>
              </w:tc>
              <w:tc>
                <w:tcPr>
                  <w:tcW w:w="1098" w:type="dxa"/>
                  <w:tcBorders>
                    <w:top w:val="nil"/>
                    <w:left w:val="nil"/>
                    <w:bottom w:val="single" w:sz="4" w:space="0" w:color="auto"/>
                    <w:right w:val="single" w:sz="4" w:space="0" w:color="auto"/>
                  </w:tcBorders>
                  <w:shd w:val="clear" w:color="000000" w:fill="FFFFFF"/>
                  <w:noWrap/>
                  <w:vAlign w:val="center"/>
                  <w:hideMark/>
                </w:tcPr>
                <w:p w14:paraId="62C0C38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S2</w:t>
                  </w:r>
                </w:p>
              </w:tc>
              <w:tc>
                <w:tcPr>
                  <w:tcW w:w="1117" w:type="dxa"/>
                  <w:tcBorders>
                    <w:top w:val="nil"/>
                    <w:left w:val="nil"/>
                    <w:bottom w:val="single" w:sz="4" w:space="0" w:color="auto"/>
                    <w:right w:val="single" w:sz="4" w:space="0" w:color="auto"/>
                  </w:tcBorders>
                  <w:shd w:val="clear" w:color="000000" w:fill="FFFFFF"/>
                  <w:vAlign w:val="center"/>
                </w:tcPr>
                <w:p w14:paraId="181A26C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E692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1,1943</w:t>
                  </w:r>
                </w:p>
              </w:tc>
            </w:tr>
            <w:tr w:rsidR="00394B38" w:rsidRPr="00394B38" w14:paraId="222A5AA7" w14:textId="77777777" w:rsidTr="00D3210A">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28BA66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12</w:t>
                  </w:r>
                </w:p>
              </w:tc>
              <w:tc>
                <w:tcPr>
                  <w:tcW w:w="4415" w:type="dxa"/>
                  <w:tcBorders>
                    <w:top w:val="nil"/>
                    <w:left w:val="nil"/>
                    <w:bottom w:val="single" w:sz="4" w:space="0" w:color="auto"/>
                    <w:right w:val="single" w:sz="4" w:space="0" w:color="auto"/>
                  </w:tcBorders>
                  <w:shd w:val="clear" w:color="000000" w:fill="FFFFFF"/>
                  <w:vAlign w:val="center"/>
                  <w:hideMark/>
                </w:tcPr>
                <w:p w14:paraId="327B103D"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Abaterea medie pătratică a daunelor</w:t>
                  </w:r>
                </w:p>
              </w:tc>
              <w:tc>
                <w:tcPr>
                  <w:tcW w:w="1098" w:type="dxa"/>
                  <w:tcBorders>
                    <w:top w:val="nil"/>
                    <w:left w:val="nil"/>
                    <w:bottom w:val="single" w:sz="4" w:space="0" w:color="auto"/>
                    <w:right w:val="single" w:sz="4" w:space="0" w:color="auto"/>
                  </w:tcBorders>
                  <w:shd w:val="clear" w:color="000000" w:fill="FFFFFF"/>
                  <w:noWrap/>
                  <w:vAlign w:val="center"/>
                  <w:hideMark/>
                </w:tcPr>
                <w:p w14:paraId="362AB9B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Ϭd</w:t>
                  </w:r>
                </w:p>
              </w:tc>
              <w:tc>
                <w:tcPr>
                  <w:tcW w:w="1117" w:type="dxa"/>
                  <w:tcBorders>
                    <w:top w:val="nil"/>
                    <w:left w:val="nil"/>
                    <w:bottom w:val="single" w:sz="4" w:space="0" w:color="auto"/>
                    <w:right w:val="single" w:sz="4" w:space="0" w:color="auto"/>
                  </w:tcBorders>
                  <w:shd w:val="clear" w:color="000000" w:fill="FFFFFF"/>
                  <w:vAlign w:val="center"/>
                </w:tcPr>
                <w:p w14:paraId="2022AAB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C3280" w14:textId="2758E0D2"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21</w:t>
                  </w:r>
                  <w:r w:rsidR="00EF4C1D" w:rsidRPr="00394B38">
                    <w:rPr>
                      <w:rFonts w:eastAsiaTheme="minorHAnsi"/>
                      <w:sz w:val="20"/>
                      <w:szCs w:val="20"/>
                      <w:lang w:val="ro-MD"/>
                    </w:rPr>
                    <w:t xml:space="preserve"> </w:t>
                  </w:r>
                  <w:r w:rsidRPr="00394B38">
                    <w:rPr>
                      <w:rFonts w:eastAsiaTheme="minorHAnsi"/>
                      <w:sz w:val="20"/>
                      <w:szCs w:val="20"/>
                      <w:lang w:val="ro-MD"/>
                    </w:rPr>
                    <w:t>538,69</w:t>
                  </w:r>
                </w:p>
              </w:tc>
            </w:tr>
            <w:tr w:rsidR="00394B38" w:rsidRPr="00394B38" w14:paraId="380DB8BF"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DE47FC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13</w:t>
                  </w:r>
                </w:p>
              </w:tc>
              <w:tc>
                <w:tcPr>
                  <w:tcW w:w="4415" w:type="dxa"/>
                  <w:tcBorders>
                    <w:top w:val="nil"/>
                    <w:left w:val="nil"/>
                    <w:bottom w:val="single" w:sz="4" w:space="0" w:color="auto"/>
                    <w:right w:val="single" w:sz="4" w:space="0" w:color="auto"/>
                  </w:tcBorders>
                  <w:shd w:val="clear" w:color="000000" w:fill="FFFFFF"/>
                  <w:vAlign w:val="center"/>
                  <w:hideMark/>
                </w:tcPr>
                <w:p w14:paraId="5206B73B"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Coeficientul variației daunelor totale</w:t>
                  </w:r>
                </w:p>
              </w:tc>
              <w:tc>
                <w:tcPr>
                  <w:tcW w:w="1098" w:type="dxa"/>
                  <w:tcBorders>
                    <w:top w:val="nil"/>
                    <w:left w:val="nil"/>
                    <w:bottom w:val="single" w:sz="4" w:space="0" w:color="auto"/>
                    <w:right w:val="single" w:sz="4" w:space="0" w:color="auto"/>
                  </w:tcBorders>
                  <w:shd w:val="clear" w:color="000000" w:fill="FFFFFF"/>
                  <w:noWrap/>
                  <w:vAlign w:val="center"/>
                  <w:hideMark/>
                </w:tcPr>
                <w:p w14:paraId="66B0264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V</w:t>
                  </w:r>
                </w:p>
              </w:tc>
              <w:tc>
                <w:tcPr>
                  <w:tcW w:w="1117" w:type="dxa"/>
                  <w:tcBorders>
                    <w:top w:val="nil"/>
                    <w:left w:val="nil"/>
                    <w:bottom w:val="single" w:sz="4" w:space="0" w:color="auto"/>
                    <w:right w:val="single" w:sz="4" w:space="0" w:color="auto"/>
                  </w:tcBorders>
                  <w:shd w:val="clear" w:color="000000" w:fill="FFFFFF"/>
                  <w:vAlign w:val="center"/>
                </w:tcPr>
                <w:p w14:paraId="0EB9557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FE69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1,52</w:t>
                  </w:r>
                </w:p>
              </w:tc>
            </w:tr>
            <w:tr w:rsidR="00394B38" w:rsidRPr="00394B38" w14:paraId="02B22C39" w14:textId="77777777" w:rsidTr="00D3210A">
              <w:trPr>
                <w:trHeight w:val="186"/>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1755055"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14</w:t>
                  </w:r>
                </w:p>
              </w:tc>
              <w:tc>
                <w:tcPr>
                  <w:tcW w:w="4415" w:type="dxa"/>
                  <w:tcBorders>
                    <w:top w:val="nil"/>
                    <w:left w:val="nil"/>
                    <w:bottom w:val="single" w:sz="4" w:space="0" w:color="auto"/>
                    <w:right w:val="single" w:sz="4" w:space="0" w:color="auto"/>
                  </w:tcBorders>
                  <w:shd w:val="clear" w:color="000000" w:fill="FFF2CC"/>
                  <w:vAlign w:val="center"/>
                  <w:hideMark/>
                </w:tcPr>
                <w:p w14:paraId="0C97714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Prima pură</w:t>
                  </w:r>
                </w:p>
              </w:tc>
              <w:tc>
                <w:tcPr>
                  <w:tcW w:w="1098" w:type="dxa"/>
                  <w:tcBorders>
                    <w:top w:val="nil"/>
                    <w:left w:val="nil"/>
                    <w:bottom w:val="single" w:sz="4" w:space="0" w:color="auto"/>
                    <w:right w:val="single" w:sz="4" w:space="0" w:color="auto"/>
                  </w:tcBorders>
                  <w:shd w:val="clear" w:color="000000" w:fill="FFF2CC"/>
                  <w:noWrap/>
                  <w:vAlign w:val="center"/>
                  <w:hideMark/>
                </w:tcPr>
                <w:p w14:paraId="28E22EB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Pp</w:t>
                  </w:r>
                </w:p>
              </w:tc>
              <w:tc>
                <w:tcPr>
                  <w:tcW w:w="1117" w:type="dxa"/>
                  <w:tcBorders>
                    <w:top w:val="nil"/>
                    <w:left w:val="nil"/>
                    <w:bottom w:val="single" w:sz="4" w:space="0" w:color="auto"/>
                    <w:right w:val="single" w:sz="4" w:space="0" w:color="auto"/>
                  </w:tcBorders>
                  <w:shd w:val="clear" w:color="000000" w:fill="FFF2CC"/>
                  <w:vAlign w:val="center"/>
                </w:tcPr>
                <w:p w14:paraId="08276AC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p w14:paraId="6B3918C5" w14:textId="77777777" w:rsidR="00760963" w:rsidRPr="00394B38" w:rsidRDefault="00760963" w:rsidP="00E80124">
                  <w:pPr>
                    <w:jc w:val="center"/>
                    <w:rPr>
                      <w:rFonts w:eastAsiaTheme="minorHAnsi"/>
                      <w:sz w:val="20"/>
                      <w:szCs w:val="20"/>
                      <w:lang w:val="ro-MD"/>
                    </w:rPr>
                  </w:pPr>
                </w:p>
              </w:tc>
              <w:tc>
                <w:tcPr>
                  <w:tcW w:w="1447"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8781B0B"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448</w:t>
                  </w:r>
                </w:p>
              </w:tc>
            </w:tr>
            <w:tr w:rsidR="00394B38" w:rsidRPr="00394B38" w14:paraId="5EEAB554" w14:textId="77777777" w:rsidTr="00D3210A">
              <w:trPr>
                <w:trHeight w:val="231"/>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857352B"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15</w:t>
                  </w:r>
                </w:p>
              </w:tc>
              <w:tc>
                <w:tcPr>
                  <w:tcW w:w="4415" w:type="dxa"/>
                  <w:tcBorders>
                    <w:top w:val="nil"/>
                    <w:left w:val="nil"/>
                    <w:bottom w:val="single" w:sz="4" w:space="0" w:color="auto"/>
                    <w:right w:val="single" w:sz="4" w:space="0" w:color="auto"/>
                  </w:tcBorders>
                  <w:shd w:val="clear" w:color="000000" w:fill="FFFFFF"/>
                  <w:vAlign w:val="center"/>
                  <w:hideMark/>
                </w:tcPr>
                <w:p w14:paraId="149F576B"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Coeficientul de siguranță</w:t>
                  </w:r>
                </w:p>
              </w:tc>
              <w:tc>
                <w:tcPr>
                  <w:tcW w:w="1098" w:type="dxa"/>
                  <w:tcBorders>
                    <w:top w:val="nil"/>
                    <w:left w:val="nil"/>
                    <w:bottom w:val="single" w:sz="4" w:space="0" w:color="auto"/>
                    <w:right w:val="single" w:sz="4" w:space="0" w:color="auto"/>
                  </w:tcBorders>
                  <w:shd w:val="clear" w:color="000000" w:fill="FFFFFF"/>
                  <w:noWrap/>
                  <w:vAlign w:val="center"/>
                  <w:hideMark/>
                </w:tcPr>
                <w:p w14:paraId="3FE94F1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α(g)</w:t>
                  </w:r>
                </w:p>
              </w:tc>
              <w:tc>
                <w:tcPr>
                  <w:tcW w:w="1117" w:type="dxa"/>
                  <w:tcBorders>
                    <w:top w:val="nil"/>
                    <w:left w:val="nil"/>
                    <w:bottom w:val="single" w:sz="4" w:space="0" w:color="auto"/>
                    <w:right w:val="single" w:sz="4" w:space="0" w:color="auto"/>
                  </w:tcBorders>
                  <w:shd w:val="clear" w:color="000000" w:fill="FFFFFF"/>
                  <w:vAlign w:val="center"/>
                </w:tcPr>
                <w:p w14:paraId="748C354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3E59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r>
            <w:tr w:rsidR="00394B38" w:rsidRPr="00394B38" w14:paraId="2899C0FA" w14:textId="77777777" w:rsidTr="00D3210A">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D3B468F"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16</w:t>
                  </w:r>
                </w:p>
              </w:tc>
              <w:tc>
                <w:tcPr>
                  <w:tcW w:w="4415" w:type="dxa"/>
                  <w:tcBorders>
                    <w:top w:val="nil"/>
                    <w:left w:val="nil"/>
                    <w:bottom w:val="single" w:sz="4" w:space="0" w:color="auto"/>
                    <w:right w:val="single" w:sz="4" w:space="0" w:color="auto"/>
                  </w:tcBorders>
                  <w:shd w:val="clear" w:color="000000" w:fill="FFFFFF"/>
                  <w:vAlign w:val="center"/>
                  <w:hideMark/>
                </w:tcPr>
                <w:p w14:paraId="160EBD2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Marja de risc</w:t>
                  </w:r>
                </w:p>
              </w:tc>
              <w:tc>
                <w:tcPr>
                  <w:tcW w:w="1098" w:type="dxa"/>
                  <w:tcBorders>
                    <w:top w:val="nil"/>
                    <w:left w:val="nil"/>
                    <w:bottom w:val="single" w:sz="4" w:space="0" w:color="auto"/>
                    <w:right w:val="single" w:sz="4" w:space="0" w:color="auto"/>
                  </w:tcBorders>
                  <w:shd w:val="clear" w:color="000000" w:fill="FFFFFF"/>
                  <w:noWrap/>
                  <w:vAlign w:val="center"/>
                  <w:hideMark/>
                </w:tcPr>
                <w:p w14:paraId="4E7A8B7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Pm</w:t>
                  </w:r>
                </w:p>
              </w:tc>
              <w:tc>
                <w:tcPr>
                  <w:tcW w:w="1117" w:type="dxa"/>
                  <w:tcBorders>
                    <w:top w:val="nil"/>
                    <w:left w:val="nil"/>
                    <w:bottom w:val="single" w:sz="4" w:space="0" w:color="auto"/>
                    <w:right w:val="single" w:sz="4" w:space="0" w:color="auto"/>
                  </w:tcBorders>
                  <w:vAlign w:val="center"/>
                </w:tcPr>
                <w:p w14:paraId="4E44D3A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7B64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18,88</w:t>
                  </w:r>
                </w:p>
              </w:tc>
            </w:tr>
            <w:tr w:rsidR="00394B38" w:rsidRPr="00394B38" w14:paraId="5AAE77D7" w14:textId="77777777" w:rsidTr="00D3210A">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D8D0D37"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17</w:t>
                  </w:r>
                </w:p>
              </w:tc>
              <w:tc>
                <w:tcPr>
                  <w:tcW w:w="4415" w:type="dxa"/>
                  <w:tcBorders>
                    <w:top w:val="nil"/>
                    <w:left w:val="nil"/>
                    <w:bottom w:val="single" w:sz="4" w:space="0" w:color="auto"/>
                    <w:right w:val="single" w:sz="4" w:space="0" w:color="auto"/>
                  </w:tcBorders>
                  <w:shd w:val="clear" w:color="000000" w:fill="FFFFFF"/>
                  <w:vAlign w:val="center"/>
                  <w:hideMark/>
                </w:tcPr>
                <w:p w14:paraId="1740BB05"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Rata medie anuală a inflației </w:t>
                  </w:r>
                </w:p>
              </w:tc>
              <w:tc>
                <w:tcPr>
                  <w:tcW w:w="1098" w:type="dxa"/>
                  <w:tcBorders>
                    <w:top w:val="nil"/>
                    <w:left w:val="nil"/>
                    <w:bottom w:val="single" w:sz="4" w:space="0" w:color="auto"/>
                    <w:right w:val="single" w:sz="4" w:space="0" w:color="auto"/>
                  </w:tcBorders>
                  <w:shd w:val="clear" w:color="000000" w:fill="FFFFFF"/>
                  <w:noWrap/>
                  <w:vAlign w:val="center"/>
                  <w:hideMark/>
                </w:tcPr>
                <w:p w14:paraId="29535F9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Ri</w:t>
                  </w:r>
                </w:p>
              </w:tc>
              <w:tc>
                <w:tcPr>
                  <w:tcW w:w="1117" w:type="dxa"/>
                  <w:tcBorders>
                    <w:top w:val="nil"/>
                    <w:left w:val="nil"/>
                    <w:bottom w:val="single" w:sz="4" w:space="0" w:color="auto"/>
                    <w:right w:val="single" w:sz="4" w:space="0" w:color="auto"/>
                  </w:tcBorders>
                  <w:shd w:val="clear" w:color="000000" w:fill="FFFFFF"/>
                  <w:vAlign w:val="center"/>
                </w:tcPr>
                <w:p w14:paraId="7E872D9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C34B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28,7</w:t>
                  </w:r>
                </w:p>
              </w:tc>
            </w:tr>
            <w:tr w:rsidR="00394B38" w:rsidRPr="00394B38" w14:paraId="646C744C" w14:textId="77777777" w:rsidTr="00D3210A">
              <w:trPr>
                <w:trHeight w:val="34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2385183"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18</w:t>
                  </w:r>
                </w:p>
              </w:tc>
              <w:tc>
                <w:tcPr>
                  <w:tcW w:w="4415" w:type="dxa"/>
                  <w:tcBorders>
                    <w:top w:val="nil"/>
                    <w:left w:val="nil"/>
                    <w:bottom w:val="single" w:sz="4" w:space="0" w:color="auto"/>
                    <w:right w:val="single" w:sz="4" w:space="0" w:color="auto"/>
                  </w:tcBorders>
                  <w:shd w:val="clear" w:color="000000" w:fill="FFF2CC"/>
                  <w:vAlign w:val="center"/>
                  <w:hideMark/>
                </w:tcPr>
                <w:p w14:paraId="759C09B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Prima de risc estimata</w:t>
                  </w:r>
                </w:p>
              </w:tc>
              <w:tc>
                <w:tcPr>
                  <w:tcW w:w="1098" w:type="dxa"/>
                  <w:tcBorders>
                    <w:top w:val="nil"/>
                    <w:left w:val="nil"/>
                    <w:bottom w:val="single" w:sz="4" w:space="0" w:color="auto"/>
                    <w:right w:val="single" w:sz="4" w:space="0" w:color="auto"/>
                  </w:tcBorders>
                  <w:shd w:val="clear" w:color="000000" w:fill="FFF2CC"/>
                  <w:noWrap/>
                  <w:vAlign w:val="center"/>
                  <w:hideMark/>
                </w:tcPr>
                <w:p w14:paraId="7E2CDC4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Pe</w:t>
                  </w:r>
                </w:p>
              </w:tc>
              <w:tc>
                <w:tcPr>
                  <w:tcW w:w="1117" w:type="dxa"/>
                  <w:tcBorders>
                    <w:top w:val="nil"/>
                    <w:left w:val="nil"/>
                    <w:bottom w:val="single" w:sz="4" w:space="0" w:color="auto"/>
                    <w:right w:val="single" w:sz="4" w:space="0" w:color="auto"/>
                  </w:tcBorders>
                  <w:shd w:val="clear" w:color="000000" w:fill="FFF2CC"/>
                </w:tcPr>
                <w:p w14:paraId="1A0BC8A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11D199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601,3</w:t>
                  </w:r>
                </w:p>
              </w:tc>
            </w:tr>
            <w:tr w:rsidR="00394B38" w:rsidRPr="00394B38" w14:paraId="3EDCC7E1"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FB686C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19</w:t>
                  </w:r>
                </w:p>
              </w:tc>
              <w:tc>
                <w:tcPr>
                  <w:tcW w:w="4415" w:type="dxa"/>
                  <w:tcBorders>
                    <w:top w:val="nil"/>
                    <w:left w:val="nil"/>
                    <w:bottom w:val="single" w:sz="4" w:space="0" w:color="auto"/>
                    <w:right w:val="single" w:sz="4" w:space="0" w:color="auto"/>
                  </w:tcBorders>
                  <w:shd w:val="clear" w:color="000000" w:fill="FFFFFF"/>
                  <w:vAlign w:val="center"/>
                  <w:hideMark/>
                </w:tcPr>
                <w:p w14:paraId="085CCA0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Cota factorului de încărcare în tariful de referință</w:t>
                  </w:r>
                </w:p>
              </w:tc>
              <w:tc>
                <w:tcPr>
                  <w:tcW w:w="1098" w:type="dxa"/>
                  <w:tcBorders>
                    <w:top w:val="nil"/>
                    <w:left w:val="nil"/>
                    <w:bottom w:val="single" w:sz="4" w:space="0" w:color="auto"/>
                    <w:right w:val="single" w:sz="4" w:space="0" w:color="auto"/>
                  </w:tcBorders>
                  <w:shd w:val="clear" w:color="000000" w:fill="FFFFFF"/>
                  <w:noWrap/>
                  <w:vAlign w:val="center"/>
                  <w:hideMark/>
                </w:tcPr>
                <w:p w14:paraId="6ABFF4B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cheltuieli</w:t>
                  </w:r>
                </w:p>
              </w:tc>
              <w:tc>
                <w:tcPr>
                  <w:tcW w:w="1117" w:type="dxa"/>
                  <w:tcBorders>
                    <w:top w:val="nil"/>
                    <w:left w:val="nil"/>
                    <w:bottom w:val="single" w:sz="4" w:space="0" w:color="auto"/>
                    <w:right w:val="single" w:sz="4" w:space="0" w:color="auto"/>
                  </w:tcBorders>
                </w:tcPr>
                <w:p w14:paraId="611BFFD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2185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25%</w:t>
                  </w:r>
                </w:p>
              </w:tc>
            </w:tr>
            <w:tr w:rsidR="00394B38" w:rsidRPr="00394B38" w14:paraId="42F5F1F9"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6ECC96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20</w:t>
                  </w:r>
                </w:p>
              </w:tc>
              <w:tc>
                <w:tcPr>
                  <w:tcW w:w="4415" w:type="dxa"/>
                  <w:tcBorders>
                    <w:top w:val="nil"/>
                    <w:left w:val="nil"/>
                    <w:bottom w:val="single" w:sz="4" w:space="0" w:color="auto"/>
                    <w:right w:val="single" w:sz="4" w:space="0" w:color="auto"/>
                  </w:tcBorders>
                  <w:shd w:val="clear" w:color="000000" w:fill="FFFFFF"/>
                  <w:vAlign w:val="center"/>
                  <w:hideMark/>
                </w:tcPr>
                <w:p w14:paraId="34F70C8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Marja de profit</w:t>
                  </w:r>
                </w:p>
              </w:tc>
              <w:tc>
                <w:tcPr>
                  <w:tcW w:w="1098" w:type="dxa"/>
                  <w:tcBorders>
                    <w:top w:val="nil"/>
                    <w:left w:val="nil"/>
                    <w:bottom w:val="single" w:sz="4" w:space="0" w:color="auto"/>
                    <w:right w:val="single" w:sz="4" w:space="0" w:color="auto"/>
                  </w:tcBorders>
                  <w:shd w:val="clear" w:color="000000" w:fill="FFFFFF"/>
                  <w:noWrap/>
                  <w:vAlign w:val="center"/>
                  <w:hideMark/>
                </w:tcPr>
                <w:p w14:paraId="04A91D1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Profit</w:t>
                  </w:r>
                </w:p>
              </w:tc>
              <w:tc>
                <w:tcPr>
                  <w:tcW w:w="1117" w:type="dxa"/>
                  <w:tcBorders>
                    <w:top w:val="nil"/>
                    <w:left w:val="nil"/>
                    <w:bottom w:val="single" w:sz="4" w:space="0" w:color="auto"/>
                    <w:right w:val="single" w:sz="4" w:space="0" w:color="auto"/>
                  </w:tcBorders>
                </w:tcPr>
                <w:p w14:paraId="66CCF69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C911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w:t>
                  </w:r>
                </w:p>
              </w:tc>
            </w:tr>
            <w:tr w:rsidR="00394B38" w:rsidRPr="00394B38" w14:paraId="2FA31F86" w14:textId="77777777" w:rsidTr="00D3210A">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050AB28"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21</w:t>
                  </w:r>
                </w:p>
              </w:tc>
              <w:tc>
                <w:tcPr>
                  <w:tcW w:w="4415" w:type="dxa"/>
                  <w:tcBorders>
                    <w:top w:val="nil"/>
                    <w:left w:val="nil"/>
                    <w:bottom w:val="single" w:sz="4" w:space="0" w:color="auto"/>
                    <w:right w:val="single" w:sz="4" w:space="0" w:color="auto"/>
                  </w:tcBorders>
                  <w:shd w:val="clear" w:color="000000" w:fill="FFFFFF"/>
                  <w:vAlign w:val="center"/>
                  <w:hideMark/>
                </w:tcPr>
                <w:p w14:paraId="61C3053B"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Cota factorului de încărcare</w:t>
                  </w:r>
                </w:p>
              </w:tc>
              <w:tc>
                <w:tcPr>
                  <w:tcW w:w="1098" w:type="dxa"/>
                  <w:tcBorders>
                    <w:top w:val="nil"/>
                    <w:left w:val="nil"/>
                    <w:bottom w:val="single" w:sz="4" w:space="0" w:color="auto"/>
                    <w:right w:val="single" w:sz="4" w:space="0" w:color="auto"/>
                  </w:tcBorders>
                  <w:shd w:val="clear" w:color="000000" w:fill="FFFFFF"/>
                  <w:noWrap/>
                  <w:vAlign w:val="center"/>
                  <w:hideMark/>
                </w:tcPr>
                <w:p w14:paraId="11AC914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F</w:t>
                  </w:r>
                </w:p>
              </w:tc>
              <w:tc>
                <w:tcPr>
                  <w:tcW w:w="1117" w:type="dxa"/>
                  <w:tcBorders>
                    <w:top w:val="nil"/>
                    <w:left w:val="nil"/>
                    <w:bottom w:val="single" w:sz="4" w:space="0" w:color="auto"/>
                    <w:right w:val="single" w:sz="4" w:space="0" w:color="auto"/>
                  </w:tcBorders>
                </w:tcPr>
                <w:p w14:paraId="244D6F3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3DF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r>
            <w:tr w:rsidR="00394B38" w:rsidRPr="00394B38" w14:paraId="23ED3FF1" w14:textId="77777777" w:rsidTr="00D3210A">
              <w:trPr>
                <w:trHeight w:val="578"/>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FFD15A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22</w:t>
                  </w:r>
                </w:p>
              </w:tc>
              <w:tc>
                <w:tcPr>
                  <w:tcW w:w="4415" w:type="dxa"/>
                  <w:tcBorders>
                    <w:top w:val="nil"/>
                    <w:left w:val="nil"/>
                    <w:bottom w:val="single" w:sz="4" w:space="0" w:color="auto"/>
                    <w:right w:val="single" w:sz="4" w:space="0" w:color="auto"/>
                  </w:tcBorders>
                  <w:shd w:val="clear" w:color="000000" w:fill="FFFFFF"/>
                  <w:vAlign w:val="center"/>
                  <w:hideMark/>
                </w:tcPr>
                <w:p w14:paraId="4B343D19" w14:textId="29692117" w:rsidR="00760963" w:rsidRPr="00394B38" w:rsidRDefault="00760963">
                  <w:pPr>
                    <w:rPr>
                      <w:rFonts w:eastAsiaTheme="minorHAnsi"/>
                      <w:sz w:val="20"/>
                      <w:szCs w:val="20"/>
                      <w:lang w:val="ro-MD"/>
                    </w:rPr>
                  </w:pPr>
                  <w:r w:rsidRPr="00394B38">
                    <w:rPr>
                      <w:rFonts w:eastAsiaTheme="minorHAnsi"/>
                      <w:sz w:val="20"/>
                      <w:szCs w:val="20"/>
                      <w:lang w:val="ro-MD"/>
                    </w:rPr>
                    <w:t xml:space="preserve">Cota factorului de încărcare  prin aplicarea sistemului </w:t>
                  </w:r>
                  <w:r w:rsidR="0005131D">
                    <w:rPr>
                      <w:rFonts w:eastAsiaTheme="minorHAnsi"/>
                      <w:sz w:val="20"/>
                      <w:szCs w:val="20"/>
                      <w:lang w:val="ro-MD"/>
                    </w:rPr>
                    <w:t>b</w:t>
                  </w:r>
                  <w:r w:rsidRPr="00394B38">
                    <w:rPr>
                      <w:rFonts w:eastAsiaTheme="minorHAnsi"/>
                      <w:sz w:val="20"/>
                      <w:szCs w:val="20"/>
                      <w:lang w:val="ro-MD"/>
                    </w:rPr>
                    <w:t>onus-</w:t>
                  </w:r>
                  <w:r w:rsidR="0005131D">
                    <w:rPr>
                      <w:rFonts w:eastAsiaTheme="minorHAnsi"/>
                      <w:sz w:val="20"/>
                      <w:szCs w:val="20"/>
                      <w:lang w:val="ro-MD"/>
                    </w:rPr>
                    <w:t>m</w:t>
                  </w:r>
                  <w:r w:rsidRPr="00394B38">
                    <w:rPr>
                      <w:rFonts w:eastAsiaTheme="minorHAnsi"/>
                      <w:sz w:val="20"/>
                      <w:szCs w:val="20"/>
                      <w:lang w:val="ro-MD"/>
                    </w:rPr>
                    <w:t>alus</w:t>
                  </w:r>
                </w:p>
              </w:tc>
              <w:tc>
                <w:tcPr>
                  <w:tcW w:w="1098" w:type="dxa"/>
                  <w:tcBorders>
                    <w:top w:val="nil"/>
                    <w:left w:val="nil"/>
                    <w:bottom w:val="single" w:sz="4" w:space="0" w:color="auto"/>
                    <w:right w:val="single" w:sz="4" w:space="0" w:color="auto"/>
                  </w:tcBorders>
                  <w:shd w:val="clear" w:color="000000" w:fill="FFFFFF"/>
                  <w:noWrap/>
                  <w:vAlign w:val="center"/>
                  <w:hideMark/>
                </w:tcPr>
                <w:p w14:paraId="2E18BFF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Β</w:t>
                  </w:r>
                </w:p>
              </w:tc>
              <w:tc>
                <w:tcPr>
                  <w:tcW w:w="1117" w:type="dxa"/>
                  <w:tcBorders>
                    <w:top w:val="nil"/>
                    <w:left w:val="nil"/>
                    <w:bottom w:val="single" w:sz="4" w:space="0" w:color="auto"/>
                    <w:right w:val="single" w:sz="4" w:space="0" w:color="auto"/>
                  </w:tcBorders>
                </w:tcPr>
                <w:p w14:paraId="4C9F259E" w14:textId="77777777" w:rsidR="00852FA6" w:rsidRPr="00394B38" w:rsidRDefault="00852FA6" w:rsidP="00E80124">
                  <w:pPr>
                    <w:jc w:val="center"/>
                    <w:rPr>
                      <w:rFonts w:eastAsiaTheme="minorHAnsi"/>
                      <w:sz w:val="20"/>
                      <w:szCs w:val="20"/>
                      <w:lang w:val="ro-MD"/>
                    </w:rPr>
                  </w:pPr>
                </w:p>
                <w:p w14:paraId="06898FC6" w14:textId="271430C1"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4A03" w14:textId="508F9D29"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32</w:t>
                  </w:r>
                  <w:r w:rsidR="00852FA6" w:rsidRPr="00394B38">
                    <w:rPr>
                      <w:rFonts w:eastAsiaTheme="minorHAnsi"/>
                      <w:sz w:val="20"/>
                      <w:szCs w:val="20"/>
                      <w:lang w:val="ro-MD"/>
                    </w:rPr>
                    <w:t>,47</w:t>
                  </w:r>
                  <w:r w:rsidRPr="00394B38">
                    <w:rPr>
                      <w:rFonts w:eastAsiaTheme="minorHAnsi"/>
                      <w:sz w:val="20"/>
                      <w:szCs w:val="20"/>
                      <w:lang w:val="ro-MD"/>
                    </w:rPr>
                    <w:t>%</w:t>
                  </w:r>
                </w:p>
              </w:tc>
            </w:tr>
            <w:tr w:rsidR="00394B38" w:rsidRPr="00394B38" w14:paraId="112A608D" w14:textId="77777777" w:rsidTr="00D3210A">
              <w:trPr>
                <w:trHeight w:val="375"/>
              </w:trPr>
              <w:tc>
                <w:tcPr>
                  <w:tcW w:w="609" w:type="dxa"/>
                  <w:tcBorders>
                    <w:top w:val="nil"/>
                    <w:left w:val="single" w:sz="4" w:space="0" w:color="auto"/>
                    <w:bottom w:val="single" w:sz="4" w:space="0" w:color="auto"/>
                    <w:right w:val="single" w:sz="4" w:space="0" w:color="auto"/>
                  </w:tcBorders>
                  <w:shd w:val="clear" w:color="000000" w:fill="FFF2CC"/>
                  <w:noWrap/>
                  <w:vAlign w:val="center"/>
                  <w:hideMark/>
                </w:tcPr>
                <w:p w14:paraId="5FBAB4C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23</w:t>
                  </w:r>
                </w:p>
              </w:tc>
              <w:tc>
                <w:tcPr>
                  <w:tcW w:w="4415" w:type="dxa"/>
                  <w:tcBorders>
                    <w:top w:val="nil"/>
                    <w:left w:val="nil"/>
                    <w:bottom w:val="single" w:sz="4" w:space="0" w:color="auto"/>
                    <w:right w:val="single" w:sz="4" w:space="0" w:color="auto"/>
                  </w:tcBorders>
                  <w:shd w:val="clear" w:color="000000" w:fill="FFF2CC"/>
                  <w:vAlign w:val="center"/>
                  <w:hideMark/>
                </w:tcPr>
                <w:p w14:paraId="18B600ED" w14:textId="412728C0" w:rsidR="00760963" w:rsidRPr="00394B38" w:rsidRDefault="00760963">
                  <w:pPr>
                    <w:rPr>
                      <w:rFonts w:eastAsiaTheme="minorHAnsi"/>
                      <w:sz w:val="20"/>
                      <w:szCs w:val="20"/>
                      <w:lang w:val="ro-MD"/>
                    </w:rPr>
                  </w:pPr>
                  <w:r w:rsidRPr="00394B38">
                    <w:rPr>
                      <w:rFonts w:eastAsiaTheme="minorHAnsi"/>
                      <w:sz w:val="20"/>
                      <w:szCs w:val="20"/>
                      <w:lang w:val="ro-MD"/>
                    </w:rPr>
                    <w:t>Prima de asigurare de bază aferent</w:t>
                  </w:r>
                  <w:r w:rsidR="0005131D">
                    <w:rPr>
                      <w:rFonts w:eastAsiaTheme="minorHAnsi"/>
                      <w:sz w:val="20"/>
                      <w:szCs w:val="20"/>
                      <w:lang w:val="ro-MD"/>
                    </w:rPr>
                    <w:t>ă</w:t>
                  </w:r>
                  <w:r w:rsidRPr="00394B38">
                    <w:rPr>
                      <w:rFonts w:eastAsiaTheme="minorHAnsi"/>
                      <w:sz w:val="20"/>
                      <w:szCs w:val="20"/>
                      <w:lang w:val="ro-MD"/>
                    </w:rPr>
                    <w:t xml:space="preserve"> tarifului de referinț</w:t>
                  </w:r>
                  <w:r w:rsidR="0005131D">
                    <w:rPr>
                      <w:rFonts w:eastAsiaTheme="minorHAnsi"/>
                      <w:sz w:val="20"/>
                      <w:szCs w:val="20"/>
                      <w:lang w:val="ro-MD"/>
                    </w:rPr>
                    <w:t>ă</w:t>
                  </w:r>
                  <w:r w:rsidRPr="00394B38">
                    <w:rPr>
                      <w:rFonts w:eastAsiaTheme="minorHAnsi"/>
                      <w:sz w:val="20"/>
                      <w:szCs w:val="20"/>
                      <w:lang w:val="ro-MD"/>
                    </w:rPr>
                    <w:t xml:space="preserve"> </w:t>
                  </w:r>
                </w:p>
              </w:tc>
              <w:tc>
                <w:tcPr>
                  <w:tcW w:w="1098" w:type="dxa"/>
                  <w:tcBorders>
                    <w:top w:val="nil"/>
                    <w:left w:val="nil"/>
                    <w:bottom w:val="single" w:sz="4" w:space="0" w:color="auto"/>
                    <w:right w:val="single" w:sz="4" w:space="0" w:color="auto"/>
                  </w:tcBorders>
                  <w:shd w:val="clear" w:color="000000" w:fill="FFF2CC"/>
                  <w:noWrap/>
                  <w:vAlign w:val="center"/>
                  <w:hideMark/>
                </w:tcPr>
                <w:p w14:paraId="194E344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Pb</w:t>
                  </w:r>
                </w:p>
              </w:tc>
              <w:tc>
                <w:tcPr>
                  <w:tcW w:w="1117" w:type="dxa"/>
                  <w:tcBorders>
                    <w:top w:val="nil"/>
                    <w:left w:val="nil"/>
                    <w:bottom w:val="single" w:sz="4" w:space="0" w:color="auto"/>
                    <w:right w:val="single" w:sz="4" w:space="0" w:color="auto"/>
                  </w:tcBorders>
                  <w:shd w:val="clear" w:color="000000" w:fill="FFF2CC"/>
                </w:tcPr>
                <w:p w14:paraId="31231E4B" w14:textId="77777777" w:rsidR="00852FA6" w:rsidRPr="00394B38" w:rsidRDefault="00852FA6" w:rsidP="00E80124">
                  <w:pPr>
                    <w:jc w:val="center"/>
                    <w:rPr>
                      <w:rFonts w:eastAsiaTheme="minorHAnsi"/>
                      <w:sz w:val="20"/>
                      <w:szCs w:val="20"/>
                      <w:lang w:val="ro-MD"/>
                    </w:rPr>
                  </w:pPr>
                </w:p>
                <w:p w14:paraId="683859C3" w14:textId="308D207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MDL</w:t>
                  </w:r>
                </w:p>
              </w:tc>
              <w:tc>
                <w:tcPr>
                  <w:tcW w:w="1447"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4D8831A" w14:textId="30880D4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w:t>
                  </w:r>
                  <w:r w:rsidR="00EF4C1D" w:rsidRPr="00394B38">
                    <w:rPr>
                      <w:rFonts w:eastAsiaTheme="minorHAnsi"/>
                      <w:sz w:val="20"/>
                      <w:szCs w:val="20"/>
                      <w:lang w:val="ro-MD"/>
                    </w:rPr>
                    <w:t xml:space="preserve"> </w:t>
                  </w:r>
                  <w:r w:rsidRPr="00394B38">
                    <w:rPr>
                      <w:rFonts w:eastAsiaTheme="minorHAnsi"/>
                      <w:sz w:val="20"/>
                      <w:szCs w:val="20"/>
                      <w:lang w:val="ro-MD"/>
                    </w:rPr>
                    <w:t>272</w:t>
                  </w:r>
                </w:p>
              </w:tc>
            </w:tr>
          </w:tbl>
          <w:p w14:paraId="62EBDC36" w14:textId="77777777" w:rsidR="00760963" w:rsidRPr="00394B38" w:rsidRDefault="00760963" w:rsidP="00E80124">
            <w:pPr>
              <w:jc w:val="center"/>
              <w:rPr>
                <w:rFonts w:eastAsiaTheme="minorHAnsi"/>
                <w:b/>
                <w:lang w:val="ro-MD"/>
              </w:rPr>
            </w:pPr>
          </w:p>
          <w:p w14:paraId="0D6BDECF" w14:textId="77777777" w:rsidR="00760963" w:rsidRPr="00394B38" w:rsidRDefault="00760963" w:rsidP="00E80124">
            <w:pPr>
              <w:jc w:val="center"/>
              <w:rPr>
                <w:rFonts w:eastAsiaTheme="minorHAnsi"/>
                <w:b/>
                <w:sz w:val="28"/>
                <w:szCs w:val="28"/>
                <w:lang w:val="ro-MD"/>
              </w:rPr>
            </w:pPr>
            <w:r w:rsidRPr="00394B38">
              <w:rPr>
                <w:rFonts w:eastAsiaTheme="minorHAnsi"/>
                <w:b/>
                <w:sz w:val="28"/>
                <w:szCs w:val="28"/>
                <w:lang w:val="ro-MD"/>
              </w:rPr>
              <w:t>Indicatorii aferenți calculului pentru asigurarea RCA externă</w:t>
            </w:r>
          </w:p>
          <w:p w14:paraId="7E4F60D8" w14:textId="77777777" w:rsidR="00760963" w:rsidRPr="00394B38" w:rsidRDefault="00760963" w:rsidP="00E80124">
            <w:pPr>
              <w:jc w:val="center"/>
              <w:rPr>
                <w:rFonts w:eastAsiaTheme="minorHAnsi"/>
                <w:b/>
                <w:lang w:val="ro-MD"/>
              </w:rPr>
            </w:pPr>
          </w:p>
          <w:tbl>
            <w:tblPr>
              <w:tblW w:w="8686" w:type="dxa"/>
              <w:tblLook w:val="04A0" w:firstRow="1" w:lastRow="0" w:firstColumn="1" w:lastColumn="0" w:noHBand="0" w:noVBand="1"/>
            </w:tblPr>
            <w:tblGrid>
              <w:gridCol w:w="609"/>
              <w:gridCol w:w="2397"/>
              <w:gridCol w:w="961"/>
              <w:gridCol w:w="1098"/>
              <w:gridCol w:w="1276"/>
              <w:gridCol w:w="1211"/>
              <w:gridCol w:w="1134"/>
            </w:tblGrid>
            <w:tr w:rsidR="00394B38" w:rsidRPr="00394B38" w14:paraId="70970F84" w14:textId="77777777" w:rsidTr="00760963">
              <w:trPr>
                <w:trHeight w:val="490"/>
              </w:trPr>
              <w:tc>
                <w:tcPr>
                  <w:tcW w:w="6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340C5"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Nr. d/o</w:t>
                  </w:r>
                </w:p>
              </w:tc>
              <w:tc>
                <w:tcPr>
                  <w:tcW w:w="2397" w:type="dxa"/>
                  <w:tcBorders>
                    <w:top w:val="single" w:sz="4" w:space="0" w:color="auto"/>
                    <w:left w:val="nil"/>
                    <w:bottom w:val="single" w:sz="4" w:space="0" w:color="auto"/>
                    <w:right w:val="single" w:sz="4" w:space="0" w:color="auto"/>
                  </w:tcBorders>
                  <w:shd w:val="clear" w:color="000000" w:fill="FFFFFF"/>
                  <w:vAlign w:val="center"/>
                  <w:hideMark/>
                </w:tcPr>
                <w:p w14:paraId="1D189A9D"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Denumirea indicatorului</w:t>
                  </w:r>
                </w:p>
              </w:tc>
              <w:tc>
                <w:tcPr>
                  <w:tcW w:w="961" w:type="dxa"/>
                  <w:tcBorders>
                    <w:top w:val="single" w:sz="4" w:space="0" w:color="auto"/>
                    <w:left w:val="nil"/>
                    <w:bottom w:val="single" w:sz="4" w:space="0" w:color="auto"/>
                    <w:right w:val="single" w:sz="4" w:space="0" w:color="auto"/>
                  </w:tcBorders>
                  <w:shd w:val="clear" w:color="000000" w:fill="FFFFFF"/>
                  <w:vAlign w:val="center"/>
                </w:tcPr>
                <w:p w14:paraId="53F032BB"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Cod</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70487"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Unitate de măsură</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3D58BA8"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ZONA_1</w:t>
                  </w:r>
                </w:p>
              </w:tc>
              <w:tc>
                <w:tcPr>
                  <w:tcW w:w="1211" w:type="dxa"/>
                  <w:tcBorders>
                    <w:top w:val="single" w:sz="4" w:space="0" w:color="auto"/>
                    <w:left w:val="nil"/>
                    <w:bottom w:val="single" w:sz="4" w:space="0" w:color="auto"/>
                    <w:right w:val="single" w:sz="4" w:space="0" w:color="auto"/>
                  </w:tcBorders>
                  <w:shd w:val="clear" w:color="000000" w:fill="FFFFFF"/>
                  <w:vAlign w:val="center"/>
                  <w:hideMark/>
                </w:tcPr>
                <w:p w14:paraId="025B72FE"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ZONA_2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572E47" w14:textId="77777777" w:rsidR="00760963" w:rsidRPr="00394B38" w:rsidRDefault="00760963" w:rsidP="00E80124">
                  <w:pPr>
                    <w:jc w:val="center"/>
                    <w:rPr>
                      <w:rFonts w:eastAsiaTheme="minorHAnsi"/>
                      <w:b/>
                      <w:bCs/>
                      <w:sz w:val="20"/>
                      <w:szCs w:val="20"/>
                      <w:lang w:val="ro-MD"/>
                    </w:rPr>
                  </w:pPr>
                  <w:r w:rsidRPr="00394B38">
                    <w:rPr>
                      <w:rFonts w:eastAsiaTheme="minorHAnsi"/>
                      <w:b/>
                      <w:bCs/>
                      <w:sz w:val="20"/>
                      <w:szCs w:val="20"/>
                      <w:lang w:val="ro-MD"/>
                    </w:rPr>
                    <w:t>ZONA_3</w:t>
                  </w:r>
                </w:p>
              </w:tc>
            </w:tr>
            <w:tr w:rsidR="00394B38" w:rsidRPr="00394B38" w14:paraId="697ABEE7"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E3B34D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w:t>
                  </w:r>
                </w:p>
              </w:tc>
              <w:tc>
                <w:tcPr>
                  <w:tcW w:w="2397" w:type="dxa"/>
                  <w:tcBorders>
                    <w:top w:val="nil"/>
                    <w:left w:val="nil"/>
                    <w:bottom w:val="single" w:sz="4" w:space="0" w:color="auto"/>
                    <w:right w:val="single" w:sz="4" w:space="0" w:color="auto"/>
                  </w:tcBorders>
                  <w:shd w:val="clear" w:color="000000" w:fill="FFFFFF"/>
                  <w:vAlign w:val="center"/>
                  <w:hideMark/>
                </w:tcPr>
                <w:p w14:paraId="70676E20"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Numărul de polițe-an expuse la risc </w:t>
                  </w:r>
                </w:p>
              </w:tc>
              <w:tc>
                <w:tcPr>
                  <w:tcW w:w="961" w:type="dxa"/>
                  <w:tcBorders>
                    <w:top w:val="nil"/>
                    <w:left w:val="nil"/>
                    <w:bottom w:val="single" w:sz="4" w:space="0" w:color="auto"/>
                    <w:right w:val="single" w:sz="4" w:space="0" w:color="auto"/>
                  </w:tcBorders>
                  <w:shd w:val="clear" w:color="000000" w:fill="FFFFFF"/>
                  <w:vAlign w:val="center"/>
                </w:tcPr>
                <w:p w14:paraId="4AF8C73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FFAA7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tc>
              <w:tc>
                <w:tcPr>
                  <w:tcW w:w="1276" w:type="dxa"/>
                  <w:tcBorders>
                    <w:top w:val="nil"/>
                    <w:left w:val="nil"/>
                    <w:bottom w:val="single" w:sz="4" w:space="0" w:color="auto"/>
                    <w:right w:val="single" w:sz="4" w:space="0" w:color="auto"/>
                  </w:tcBorders>
                  <w:shd w:val="clear" w:color="000000" w:fill="FFFFFF"/>
                  <w:noWrap/>
                  <w:vAlign w:val="center"/>
                  <w:hideMark/>
                </w:tcPr>
                <w:p w14:paraId="1F3AE854" w14:textId="26FB6EDB"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95</w:t>
                  </w:r>
                  <w:r w:rsidR="00EF4C1D" w:rsidRPr="00394B38">
                    <w:rPr>
                      <w:rFonts w:eastAsiaTheme="minorHAnsi"/>
                      <w:sz w:val="20"/>
                      <w:szCs w:val="20"/>
                      <w:lang w:val="ro-MD"/>
                    </w:rPr>
                    <w:t xml:space="preserve"> </w:t>
                  </w:r>
                  <w:r w:rsidRPr="00394B38">
                    <w:rPr>
                      <w:rFonts w:eastAsiaTheme="minorHAnsi"/>
                      <w:sz w:val="20"/>
                      <w:szCs w:val="20"/>
                      <w:lang w:val="ro-MD"/>
                    </w:rPr>
                    <w:t>423</w:t>
                  </w:r>
                </w:p>
              </w:tc>
              <w:tc>
                <w:tcPr>
                  <w:tcW w:w="1211" w:type="dxa"/>
                  <w:tcBorders>
                    <w:top w:val="nil"/>
                    <w:left w:val="nil"/>
                    <w:bottom w:val="single" w:sz="4" w:space="0" w:color="auto"/>
                    <w:right w:val="single" w:sz="4" w:space="0" w:color="auto"/>
                  </w:tcBorders>
                  <w:shd w:val="clear" w:color="000000" w:fill="FFFFFF"/>
                  <w:noWrap/>
                  <w:vAlign w:val="center"/>
                  <w:hideMark/>
                </w:tcPr>
                <w:p w14:paraId="31EF9D3B" w14:textId="0C05C22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24</w:t>
                  </w:r>
                  <w:r w:rsidR="00EF4C1D" w:rsidRPr="00394B38">
                    <w:rPr>
                      <w:rFonts w:eastAsiaTheme="minorHAnsi"/>
                      <w:sz w:val="20"/>
                      <w:szCs w:val="20"/>
                      <w:lang w:val="ro-MD"/>
                    </w:rPr>
                    <w:t xml:space="preserve"> </w:t>
                  </w:r>
                  <w:r w:rsidRPr="00394B38">
                    <w:rPr>
                      <w:rFonts w:eastAsiaTheme="minorHAnsi"/>
                      <w:sz w:val="20"/>
                      <w:szCs w:val="20"/>
                      <w:lang w:val="ro-MD"/>
                    </w:rPr>
                    <w:t>927</w:t>
                  </w:r>
                </w:p>
              </w:tc>
              <w:tc>
                <w:tcPr>
                  <w:tcW w:w="1134" w:type="dxa"/>
                  <w:tcBorders>
                    <w:top w:val="nil"/>
                    <w:left w:val="nil"/>
                    <w:bottom w:val="single" w:sz="4" w:space="0" w:color="auto"/>
                    <w:right w:val="single" w:sz="4" w:space="0" w:color="auto"/>
                  </w:tcBorders>
                  <w:shd w:val="clear" w:color="000000" w:fill="FFFFFF"/>
                  <w:noWrap/>
                  <w:vAlign w:val="center"/>
                  <w:hideMark/>
                </w:tcPr>
                <w:p w14:paraId="506FBB8C" w14:textId="1BCB501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113</w:t>
                  </w:r>
                  <w:r w:rsidR="00EF4C1D" w:rsidRPr="00394B38">
                    <w:rPr>
                      <w:rFonts w:eastAsiaTheme="minorHAnsi"/>
                      <w:sz w:val="20"/>
                      <w:szCs w:val="20"/>
                      <w:lang w:val="ro-MD"/>
                    </w:rPr>
                    <w:t xml:space="preserve"> </w:t>
                  </w:r>
                  <w:r w:rsidRPr="00394B38">
                    <w:rPr>
                      <w:rFonts w:eastAsiaTheme="minorHAnsi"/>
                      <w:sz w:val="20"/>
                      <w:szCs w:val="20"/>
                      <w:lang w:val="ro-MD"/>
                    </w:rPr>
                    <w:t>848</w:t>
                  </w:r>
                </w:p>
              </w:tc>
            </w:tr>
            <w:tr w:rsidR="00394B38" w:rsidRPr="00394B38" w14:paraId="26400CA7"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4FA83FA"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w:t>
                  </w:r>
                </w:p>
              </w:tc>
              <w:tc>
                <w:tcPr>
                  <w:tcW w:w="2397" w:type="dxa"/>
                  <w:tcBorders>
                    <w:top w:val="nil"/>
                    <w:left w:val="nil"/>
                    <w:bottom w:val="single" w:sz="4" w:space="0" w:color="auto"/>
                    <w:right w:val="single" w:sz="4" w:space="0" w:color="auto"/>
                  </w:tcBorders>
                  <w:shd w:val="clear" w:color="000000" w:fill="FFFFFF"/>
                  <w:vAlign w:val="center"/>
                  <w:hideMark/>
                </w:tcPr>
                <w:p w14:paraId="39A5E26A"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Numărul de polițe-an expuse la risc pentru anul următor</w:t>
                  </w:r>
                </w:p>
              </w:tc>
              <w:tc>
                <w:tcPr>
                  <w:tcW w:w="961" w:type="dxa"/>
                  <w:tcBorders>
                    <w:top w:val="nil"/>
                    <w:left w:val="nil"/>
                    <w:bottom w:val="single" w:sz="4" w:space="0" w:color="auto"/>
                    <w:right w:val="single" w:sz="4" w:space="0" w:color="auto"/>
                  </w:tcBorders>
                  <w:shd w:val="clear" w:color="000000" w:fill="FFFFFF"/>
                  <w:vAlign w:val="center"/>
                </w:tcPr>
                <w:p w14:paraId="2BEBD91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Nh</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5413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p w14:paraId="08D3DBB6" w14:textId="77777777" w:rsidR="00760963" w:rsidRPr="00394B38" w:rsidRDefault="00760963" w:rsidP="00E80124">
                  <w:pPr>
                    <w:rPr>
                      <w:rFonts w:eastAsiaTheme="minorHAnsi"/>
                      <w:sz w:val="20"/>
                      <w:szCs w:val="20"/>
                      <w:lang w:val="ro-MD"/>
                    </w:rPr>
                  </w:pPr>
                </w:p>
              </w:tc>
              <w:tc>
                <w:tcPr>
                  <w:tcW w:w="1276" w:type="dxa"/>
                  <w:tcBorders>
                    <w:top w:val="nil"/>
                    <w:left w:val="nil"/>
                    <w:bottom w:val="single" w:sz="4" w:space="0" w:color="auto"/>
                    <w:right w:val="single" w:sz="4" w:space="0" w:color="auto"/>
                  </w:tcBorders>
                  <w:shd w:val="clear" w:color="000000" w:fill="FFFFFF"/>
                  <w:noWrap/>
                  <w:vAlign w:val="center"/>
                  <w:hideMark/>
                </w:tcPr>
                <w:p w14:paraId="42A08AD7" w14:textId="70BE8F1E"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9</w:t>
                  </w:r>
                  <w:r w:rsidR="00EF4C1D" w:rsidRPr="00394B38">
                    <w:rPr>
                      <w:rFonts w:eastAsiaTheme="minorHAnsi"/>
                      <w:sz w:val="20"/>
                      <w:szCs w:val="20"/>
                      <w:lang w:val="ro-MD"/>
                    </w:rPr>
                    <w:t xml:space="preserve"> </w:t>
                  </w:r>
                  <w:r w:rsidRPr="00394B38">
                    <w:rPr>
                      <w:rFonts w:eastAsiaTheme="minorHAnsi"/>
                      <w:sz w:val="20"/>
                      <w:szCs w:val="20"/>
                      <w:lang w:val="ro-MD"/>
                    </w:rPr>
                    <w:t>668</w:t>
                  </w:r>
                </w:p>
              </w:tc>
              <w:tc>
                <w:tcPr>
                  <w:tcW w:w="1211" w:type="dxa"/>
                  <w:tcBorders>
                    <w:top w:val="nil"/>
                    <w:left w:val="nil"/>
                    <w:bottom w:val="single" w:sz="4" w:space="0" w:color="auto"/>
                    <w:right w:val="single" w:sz="4" w:space="0" w:color="auto"/>
                  </w:tcBorders>
                  <w:shd w:val="clear" w:color="000000" w:fill="FFFFFF"/>
                  <w:noWrap/>
                  <w:vAlign w:val="center"/>
                  <w:hideMark/>
                </w:tcPr>
                <w:p w14:paraId="23FB3D03" w14:textId="706E5611"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w:t>
                  </w:r>
                  <w:r w:rsidR="00EF4C1D" w:rsidRPr="00394B38">
                    <w:rPr>
                      <w:rFonts w:eastAsiaTheme="minorHAnsi"/>
                      <w:sz w:val="20"/>
                      <w:szCs w:val="20"/>
                      <w:lang w:val="ro-MD"/>
                    </w:rPr>
                    <w:t xml:space="preserve"> </w:t>
                  </w:r>
                  <w:r w:rsidRPr="00394B38">
                    <w:rPr>
                      <w:rFonts w:eastAsiaTheme="minorHAnsi"/>
                      <w:sz w:val="20"/>
                      <w:szCs w:val="20"/>
                      <w:lang w:val="ro-MD"/>
                    </w:rPr>
                    <w:t>022</w:t>
                  </w:r>
                </w:p>
              </w:tc>
              <w:tc>
                <w:tcPr>
                  <w:tcW w:w="1134" w:type="dxa"/>
                  <w:tcBorders>
                    <w:top w:val="nil"/>
                    <w:left w:val="nil"/>
                    <w:bottom w:val="single" w:sz="4" w:space="0" w:color="auto"/>
                    <w:right w:val="single" w:sz="4" w:space="0" w:color="auto"/>
                  </w:tcBorders>
                  <w:shd w:val="clear" w:color="000000" w:fill="FFFFFF"/>
                  <w:noWrap/>
                  <w:vAlign w:val="center"/>
                  <w:hideMark/>
                </w:tcPr>
                <w:p w14:paraId="78606CEF" w14:textId="24442170"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36</w:t>
                  </w:r>
                  <w:r w:rsidR="00EF4C1D" w:rsidRPr="00394B38">
                    <w:rPr>
                      <w:rFonts w:eastAsiaTheme="minorHAnsi"/>
                      <w:sz w:val="20"/>
                      <w:szCs w:val="20"/>
                      <w:lang w:val="ro-MD"/>
                    </w:rPr>
                    <w:t xml:space="preserve"> </w:t>
                  </w:r>
                  <w:r w:rsidRPr="00394B38">
                    <w:rPr>
                      <w:rFonts w:eastAsiaTheme="minorHAnsi"/>
                      <w:sz w:val="20"/>
                      <w:szCs w:val="20"/>
                      <w:lang w:val="ro-MD"/>
                    </w:rPr>
                    <w:t>368</w:t>
                  </w:r>
                </w:p>
              </w:tc>
            </w:tr>
            <w:tr w:rsidR="00394B38" w:rsidRPr="00394B38" w14:paraId="1D5FB9F6"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232380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3</w:t>
                  </w:r>
                </w:p>
              </w:tc>
              <w:tc>
                <w:tcPr>
                  <w:tcW w:w="2397" w:type="dxa"/>
                  <w:tcBorders>
                    <w:top w:val="nil"/>
                    <w:left w:val="nil"/>
                    <w:bottom w:val="single" w:sz="4" w:space="0" w:color="auto"/>
                    <w:right w:val="single" w:sz="4" w:space="0" w:color="auto"/>
                  </w:tcBorders>
                  <w:shd w:val="clear" w:color="000000" w:fill="FFFFFF"/>
                  <w:vAlign w:val="center"/>
                  <w:hideMark/>
                </w:tcPr>
                <w:p w14:paraId="5B9BA0A8"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Numărul de daune aferente polițelor expuse la risc</w:t>
                  </w:r>
                </w:p>
              </w:tc>
              <w:tc>
                <w:tcPr>
                  <w:tcW w:w="961" w:type="dxa"/>
                  <w:tcBorders>
                    <w:top w:val="nil"/>
                    <w:left w:val="nil"/>
                    <w:bottom w:val="single" w:sz="4" w:space="0" w:color="auto"/>
                    <w:right w:val="single" w:sz="4" w:space="0" w:color="auto"/>
                  </w:tcBorders>
                  <w:shd w:val="clear" w:color="000000" w:fill="FFFFFF"/>
                  <w:vAlign w:val="center"/>
                </w:tcPr>
                <w:p w14:paraId="7C6F378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n</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144F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unități</w:t>
                  </w:r>
                </w:p>
                <w:p w14:paraId="18B00111" w14:textId="77777777" w:rsidR="00760963" w:rsidRPr="00394B38" w:rsidRDefault="00760963" w:rsidP="00E80124">
                  <w:pPr>
                    <w:jc w:val="center"/>
                    <w:rPr>
                      <w:rFonts w:eastAsiaTheme="minorHAnsi"/>
                      <w:sz w:val="20"/>
                      <w:szCs w:val="20"/>
                      <w:lang w:val="ro-MD"/>
                    </w:rPr>
                  </w:pPr>
                </w:p>
              </w:tc>
              <w:tc>
                <w:tcPr>
                  <w:tcW w:w="1276" w:type="dxa"/>
                  <w:tcBorders>
                    <w:top w:val="nil"/>
                    <w:left w:val="nil"/>
                    <w:bottom w:val="single" w:sz="4" w:space="0" w:color="auto"/>
                    <w:right w:val="single" w:sz="4" w:space="0" w:color="auto"/>
                  </w:tcBorders>
                  <w:shd w:val="clear" w:color="000000" w:fill="FFFFFF"/>
                  <w:noWrap/>
                  <w:vAlign w:val="center"/>
                  <w:hideMark/>
                </w:tcPr>
                <w:p w14:paraId="33259F46"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300</w:t>
                  </w:r>
                </w:p>
              </w:tc>
              <w:tc>
                <w:tcPr>
                  <w:tcW w:w="1211" w:type="dxa"/>
                  <w:tcBorders>
                    <w:top w:val="nil"/>
                    <w:left w:val="nil"/>
                    <w:bottom w:val="single" w:sz="4" w:space="0" w:color="auto"/>
                    <w:right w:val="single" w:sz="4" w:space="0" w:color="auto"/>
                  </w:tcBorders>
                  <w:shd w:val="clear" w:color="000000" w:fill="FFFFFF"/>
                  <w:noWrap/>
                  <w:vAlign w:val="center"/>
                  <w:hideMark/>
                </w:tcPr>
                <w:p w14:paraId="455C1FD0" w14:textId="3E59006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w:t>
                  </w:r>
                  <w:r w:rsidR="00EF4C1D" w:rsidRPr="00394B38">
                    <w:rPr>
                      <w:rFonts w:eastAsiaTheme="minorHAnsi"/>
                      <w:sz w:val="20"/>
                      <w:szCs w:val="20"/>
                      <w:lang w:val="ro-MD"/>
                    </w:rPr>
                    <w:t xml:space="preserve"> </w:t>
                  </w:r>
                  <w:r w:rsidRPr="00394B38">
                    <w:rPr>
                      <w:rFonts w:eastAsiaTheme="minorHAnsi"/>
                      <w:sz w:val="20"/>
                      <w:szCs w:val="20"/>
                      <w:lang w:val="ro-MD"/>
                    </w:rPr>
                    <w:t>425</w:t>
                  </w:r>
                </w:p>
              </w:tc>
              <w:tc>
                <w:tcPr>
                  <w:tcW w:w="1134" w:type="dxa"/>
                  <w:tcBorders>
                    <w:top w:val="nil"/>
                    <w:left w:val="nil"/>
                    <w:bottom w:val="single" w:sz="4" w:space="0" w:color="auto"/>
                    <w:right w:val="single" w:sz="4" w:space="0" w:color="auto"/>
                  </w:tcBorders>
                  <w:shd w:val="clear" w:color="000000" w:fill="FFFFFF"/>
                  <w:noWrap/>
                  <w:vAlign w:val="center"/>
                  <w:hideMark/>
                </w:tcPr>
                <w:p w14:paraId="7A3D512A" w14:textId="49716714"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w:t>
                  </w:r>
                  <w:r w:rsidR="00EF4C1D" w:rsidRPr="00394B38">
                    <w:rPr>
                      <w:rFonts w:eastAsiaTheme="minorHAnsi"/>
                      <w:sz w:val="20"/>
                      <w:szCs w:val="20"/>
                      <w:lang w:val="ro-MD"/>
                    </w:rPr>
                    <w:t xml:space="preserve"> </w:t>
                  </w:r>
                  <w:r w:rsidRPr="00394B38">
                    <w:rPr>
                      <w:rFonts w:eastAsiaTheme="minorHAnsi"/>
                      <w:sz w:val="20"/>
                      <w:szCs w:val="20"/>
                      <w:lang w:val="ro-MD"/>
                    </w:rPr>
                    <w:t>793</w:t>
                  </w:r>
                </w:p>
              </w:tc>
            </w:tr>
            <w:tr w:rsidR="00394B38" w:rsidRPr="00394B38" w14:paraId="61C604E7"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C6DD60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4</w:t>
                  </w:r>
                </w:p>
              </w:tc>
              <w:tc>
                <w:tcPr>
                  <w:tcW w:w="2397" w:type="dxa"/>
                  <w:tcBorders>
                    <w:top w:val="nil"/>
                    <w:left w:val="nil"/>
                    <w:bottom w:val="single" w:sz="4" w:space="0" w:color="auto"/>
                    <w:right w:val="single" w:sz="4" w:space="0" w:color="auto"/>
                  </w:tcBorders>
                  <w:shd w:val="clear" w:color="000000" w:fill="FFFFFF"/>
                  <w:vAlign w:val="center"/>
                  <w:hideMark/>
                </w:tcPr>
                <w:p w14:paraId="1CB8A535"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Frecvența daunelor</w:t>
                  </w:r>
                </w:p>
              </w:tc>
              <w:tc>
                <w:tcPr>
                  <w:tcW w:w="961" w:type="dxa"/>
                  <w:tcBorders>
                    <w:top w:val="nil"/>
                    <w:left w:val="nil"/>
                    <w:bottom w:val="single" w:sz="4" w:space="0" w:color="auto"/>
                    <w:right w:val="single" w:sz="4" w:space="0" w:color="auto"/>
                  </w:tcBorders>
                  <w:shd w:val="clear" w:color="000000" w:fill="FFFFFF"/>
                  <w:vAlign w:val="center"/>
                </w:tcPr>
                <w:p w14:paraId="72A6B3F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q</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4445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BCF47A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0,31%</w:t>
                  </w:r>
                </w:p>
              </w:tc>
              <w:tc>
                <w:tcPr>
                  <w:tcW w:w="1211" w:type="dxa"/>
                  <w:tcBorders>
                    <w:top w:val="nil"/>
                    <w:left w:val="nil"/>
                    <w:bottom w:val="single" w:sz="4" w:space="0" w:color="auto"/>
                    <w:right w:val="single" w:sz="4" w:space="0" w:color="auto"/>
                  </w:tcBorders>
                  <w:shd w:val="clear" w:color="000000" w:fill="FFFFFF"/>
                  <w:noWrap/>
                  <w:vAlign w:val="center"/>
                  <w:hideMark/>
                </w:tcPr>
                <w:p w14:paraId="19FD91E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5,71%</w:t>
                  </w:r>
                </w:p>
              </w:tc>
              <w:tc>
                <w:tcPr>
                  <w:tcW w:w="1134" w:type="dxa"/>
                  <w:tcBorders>
                    <w:top w:val="nil"/>
                    <w:left w:val="nil"/>
                    <w:bottom w:val="single" w:sz="4" w:space="0" w:color="auto"/>
                    <w:right w:val="single" w:sz="4" w:space="0" w:color="auto"/>
                  </w:tcBorders>
                  <w:shd w:val="clear" w:color="000000" w:fill="FFFFFF"/>
                  <w:noWrap/>
                  <w:vAlign w:val="center"/>
                  <w:hideMark/>
                </w:tcPr>
                <w:p w14:paraId="2FD38C9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5,08%</w:t>
                  </w:r>
                </w:p>
              </w:tc>
            </w:tr>
            <w:tr w:rsidR="00394B38" w:rsidRPr="00394B38" w14:paraId="6885398F"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4B6EFA8"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5</w:t>
                  </w:r>
                </w:p>
              </w:tc>
              <w:tc>
                <w:tcPr>
                  <w:tcW w:w="2397" w:type="dxa"/>
                  <w:tcBorders>
                    <w:top w:val="nil"/>
                    <w:left w:val="nil"/>
                    <w:bottom w:val="single" w:sz="4" w:space="0" w:color="auto"/>
                    <w:right w:val="single" w:sz="4" w:space="0" w:color="auto"/>
                  </w:tcBorders>
                  <w:shd w:val="clear" w:color="000000" w:fill="FFFFFF"/>
                  <w:vAlign w:val="center"/>
                  <w:hideMark/>
                </w:tcPr>
                <w:p w14:paraId="7914BC6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Valoarea daunelor plătite (în baza registrelor prezentate)</w:t>
                  </w:r>
                </w:p>
              </w:tc>
              <w:tc>
                <w:tcPr>
                  <w:tcW w:w="961" w:type="dxa"/>
                  <w:tcBorders>
                    <w:top w:val="nil"/>
                    <w:left w:val="nil"/>
                    <w:bottom w:val="single" w:sz="4" w:space="0" w:color="auto"/>
                    <w:right w:val="single" w:sz="4" w:space="0" w:color="auto"/>
                  </w:tcBorders>
                  <w:shd w:val="clear" w:color="000000" w:fill="FFFFFF"/>
                  <w:vAlign w:val="center"/>
                </w:tcPr>
                <w:p w14:paraId="2B8D648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DP</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55B10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FFF"/>
                  <w:noWrap/>
                  <w:vAlign w:val="center"/>
                  <w:hideMark/>
                </w:tcPr>
                <w:p w14:paraId="74747523" w14:textId="08DAF1EE"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492</w:t>
                  </w:r>
                  <w:r w:rsidR="00EF4C1D" w:rsidRPr="00394B38">
                    <w:rPr>
                      <w:rFonts w:eastAsiaTheme="minorHAnsi"/>
                      <w:sz w:val="20"/>
                      <w:szCs w:val="20"/>
                      <w:lang w:val="ro-MD"/>
                    </w:rPr>
                    <w:t xml:space="preserve"> </w:t>
                  </w:r>
                  <w:r w:rsidRPr="00394B38">
                    <w:rPr>
                      <w:rFonts w:eastAsiaTheme="minorHAnsi"/>
                      <w:sz w:val="20"/>
                      <w:szCs w:val="20"/>
                      <w:lang w:val="ro-MD"/>
                    </w:rPr>
                    <w:t>146</w:t>
                  </w:r>
                </w:p>
              </w:tc>
              <w:tc>
                <w:tcPr>
                  <w:tcW w:w="1211" w:type="dxa"/>
                  <w:tcBorders>
                    <w:top w:val="nil"/>
                    <w:left w:val="nil"/>
                    <w:bottom w:val="single" w:sz="4" w:space="0" w:color="auto"/>
                    <w:right w:val="single" w:sz="4" w:space="0" w:color="auto"/>
                  </w:tcBorders>
                  <w:shd w:val="clear" w:color="000000" w:fill="FFFFFF"/>
                  <w:noWrap/>
                  <w:vAlign w:val="center"/>
                  <w:hideMark/>
                </w:tcPr>
                <w:p w14:paraId="32BEB0A2" w14:textId="4E0C9B2C"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w:t>
                  </w:r>
                  <w:r w:rsidR="00EF4C1D" w:rsidRPr="00394B38">
                    <w:rPr>
                      <w:rFonts w:eastAsiaTheme="minorHAnsi"/>
                      <w:sz w:val="20"/>
                      <w:szCs w:val="20"/>
                      <w:lang w:val="ro-MD"/>
                    </w:rPr>
                    <w:t xml:space="preserve"> </w:t>
                  </w:r>
                  <w:r w:rsidRPr="00394B38">
                    <w:rPr>
                      <w:rFonts w:eastAsiaTheme="minorHAnsi"/>
                      <w:sz w:val="20"/>
                      <w:szCs w:val="20"/>
                      <w:lang w:val="ro-MD"/>
                    </w:rPr>
                    <w:t>055</w:t>
                  </w:r>
                  <w:r w:rsidR="00EF4C1D" w:rsidRPr="00394B38">
                    <w:rPr>
                      <w:rFonts w:eastAsiaTheme="minorHAnsi"/>
                      <w:sz w:val="20"/>
                      <w:szCs w:val="20"/>
                      <w:lang w:val="ro-MD"/>
                    </w:rPr>
                    <w:t xml:space="preserve"> </w:t>
                  </w:r>
                  <w:r w:rsidRPr="00394B38">
                    <w:rPr>
                      <w:rFonts w:eastAsiaTheme="minorHAnsi"/>
                      <w:sz w:val="20"/>
                      <w:szCs w:val="20"/>
                      <w:lang w:val="ro-MD"/>
                    </w:rPr>
                    <w:t>057</w:t>
                  </w:r>
                </w:p>
              </w:tc>
              <w:tc>
                <w:tcPr>
                  <w:tcW w:w="1134" w:type="dxa"/>
                  <w:tcBorders>
                    <w:top w:val="nil"/>
                    <w:left w:val="nil"/>
                    <w:bottom w:val="single" w:sz="4" w:space="0" w:color="auto"/>
                    <w:right w:val="single" w:sz="4" w:space="0" w:color="auto"/>
                  </w:tcBorders>
                  <w:shd w:val="clear" w:color="000000" w:fill="FFFFFF"/>
                  <w:noWrap/>
                  <w:vAlign w:val="center"/>
                  <w:hideMark/>
                </w:tcPr>
                <w:p w14:paraId="588B0680" w14:textId="12F381DD"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15</w:t>
                  </w:r>
                  <w:r w:rsidR="00EF4C1D" w:rsidRPr="00394B38">
                    <w:rPr>
                      <w:rFonts w:eastAsiaTheme="minorHAnsi"/>
                      <w:sz w:val="20"/>
                      <w:szCs w:val="20"/>
                      <w:lang w:val="ro-MD"/>
                    </w:rPr>
                    <w:t xml:space="preserve"> </w:t>
                  </w:r>
                  <w:r w:rsidRPr="00394B38">
                    <w:rPr>
                      <w:rFonts w:eastAsiaTheme="minorHAnsi"/>
                      <w:sz w:val="20"/>
                      <w:szCs w:val="20"/>
                      <w:lang w:val="ro-MD"/>
                    </w:rPr>
                    <w:t>705</w:t>
                  </w:r>
                  <w:r w:rsidR="00EF4C1D" w:rsidRPr="00394B38">
                    <w:rPr>
                      <w:rFonts w:eastAsiaTheme="minorHAnsi"/>
                      <w:sz w:val="20"/>
                      <w:szCs w:val="20"/>
                      <w:lang w:val="ro-MD"/>
                    </w:rPr>
                    <w:t xml:space="preserve"> </w:t>
                  </w:r>
                  <w:r w:rsidRPr="00394B38">
                    <w:rPr>
                      <w:rFonts w:eastAsiaTheme="minorHAnsi"/>
                      <w:sz w:val="20"/>
                      <w:szCs w:val="20"/>
                      <w:lang w:val="ro-MD"/>
                    </w:rPr>
                    <w:t>782</w:t>
                  </w:r>
                </w:p>
              </w:tc>
            </w:tr>
            <w:tr w:rsidR="00394B38" w:rsidRPr="00394B38" w14:paraId="090920B3" w14:textId="77777777" w:rsidTr="00760963">
              <w:trPr>
                <w:trHeight w:val="63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9FE13B7"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lastRenderedPageBreak/>
                    <w:t>6</w:t>
                  </w:r>
                </w:p>
              </w:tc>
              <w:tc>
                <w:tcPr>
                  <w:tcW w:w="2397" w:type="dxa"/>
                  <w:tcBorders>
                    <w:top w:val="nil"/>
                    <w:left w:val="nil"/>
                    <w:bottom w:val="single" w:sz="4" w:space="0" w:color="auto"/>
                    <w:right w:val="single" w:sz="4" w:space="0" w:color="auto"/>
                  </w:tcBorders>
                  <w:shd w:val="clear" w:color="000000" w:fill="FFFFFF"/>
                  <w:vAlign w:val="center"/>
                  <w:hideMark/>
                </w:tcPr>
                <w:p w14:paraId="03473B7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Valoarea rezervei daunelor declarate, dar nesoluționate (în baza registrelor prezentate), mdl</w:t>
                  </w:r>
                </w:p>
              </w:tc>
              <w:tc>
                <w:tcPr>
                  <w:tcW w:w="961" w:type="dxa"/>
                  <w:tcBorders>
                    <w:top w:val="nil"/>
                    <w:left w:val="nil"/>
                    <w:bottom w:val="single" w:sz="4" w:space="0" w:color="auto"/>
                    <w:right w:val="single" w:sz="4" w:space="0" w:color="auto"/>
                  </w:tcBorders>
                  <w:shd w:val="clear" w:color="000000" w:fill="FFFFFF"/>
                  <w:vAlign w:val="center"/>
                </w:tcPr>
                <w:p w14:paraId="5EC1BC0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RDDN</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6D99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FFF"/>
                  <w:noWrap/>
                  <w:vAlign w:val="center"/>
                  <w:hideMark/>
                </w:tcPr>
                <w:p w14:paraId="23E67B88" w14:textId="2E817DAB"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78</w:t>
                  </w:r>
                  <w:r w:rsidR="00EF4C1D" w:rsidRPr="00394B38">
                    <w:rPr>
                      <w:rFonts w:eastAsiaTheme="minorHAnsi"/>
                      <w:sz w:val="20"/>
                      <w:szCs w:val="20"/>
                      <w:lang w:val="ro-MD"/>
                    </w:rPr>
                    <w:t xml:space="preserve"> </w:t>
                  </w:r>
                  <w:r w:rsidRPr="00394B38">
                    <w:rPr>
                      <w:rFonts w:eastAsiaTheme="minorHAnsi"/>
                      <w:sz w:val="20"/>
                      <w:szCs w:val="20"/>
                      <w:lang w:val="ro-MD"/>
                    </w:rPr>
                    <w:t>397</w:t>
                  </w:r>
                </w:p>
              </w:tc>
              <w:tc>
                <w:tcPr>
                  <w:tcW w:w="1211" w:type="dxa"/>
                  <w:tcBorders>
                    <w:top w:val="nil"/>
                    <w:left w:val="nil"/>
                    <w:bottom w:val="single" w:sz="4" w:space="0" w:color="auto"/>
                    <w:right w:val="single" w:sz="4" w:space="0" w:color="auto"/>
                  </w:tcBorders>
                  <w:shd w:val="clear" w:color="000000" w:fill="FFFFFF"/>
                  <w:noWrap/>
                  <w:vAlign w:val="center"/>
                  <w:hideMark/>
                </w:tcPr>
                <w:p w14:paraId="5C1DC5AE" w14:textId="0BEDE1E0"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94</w:t>
                  </w:r>
                  <w:r w:rsidR="00EF4C1D" w:rsidRPr="00394B38">
                    <w:rPr>
                      <w:rFonts w:eastAsiaTheme="minorHAnsi"/>
                      <w:sz w:val="20"/>
                      <w:szCs w:val="20"/>
                      <w:lang w:val="ro-MD"/>
                    </w:rPr>
                    <w:t xml:space="preserve"> </w:t>
                  </w:r>
                  <w:r w:rsidRPr="00394B38">
                    <w:rPr>
                      <w:rFonts w:eastAsiaTheme="minorHAnsi"/>
                      <w:sz w:val="20"/>
                      <w:szCs w:val="20"/>
                      <w:lang w:val="ro-MD"/>
                    </w:rPr>
                    <w:t>899</w:t>
                  </w:r>
                </w:p>
              </w:tc>
              <w:tc>
                <w:tcPr>
                  <w:tcW w:w="1134" w:type="dxa"/>
                  <w:tcBorders>
                    <w:top w:val="nil"/>
                    <w:left w:val="nil"/>
                    <w:bottom w:val="single" w:sz="4" w:space="0" w:color="auto"/>
                    <w:right w:val="single" w:sz="4" w:space="0" w:color="auto"/>
                  </w:tcBorders>
                  <w:shd w:val="clear" w:color="000000" w:fill="FFFFFF"/>
                  <w:noWrap/>
                  <w:vAlign w:val="center"/>
                  <w:hideMark/>
                </w:tcPr>
                <w:p w14:paraId="7D3583AB" w14:textId="01428CB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6</w:t>
                  </w:r>
                  <w:r w:rsidR="00EF4C1D" w:rsidRPr="00394B38">
                    <w:rPr>
                      <w:rFonts w:eastAsiaTheme="minorHAnsi"/>
                      <w:sz w:val="20"/>
                      <w:szCs w:val="20"/>
                      <w:lang w:val="ro-MD"/>
                    </w:rPr>
                    <w:t xml:space="preserve"> </w:t>
                  </w:r>
                  <w:r w:rsidRPr="00394B38">
                    <w:rPr>
                      <w:rFonts w:eastAsiaTheme="minorHAnsi"/>
                      <w:sz w:val="20"/>
                      <w:szCs w:val="20"/>
                      <w:lang w:val="ro-MD"/>
                    </w:rPr>
                    <w:t>034</w:t>
                  </w:r>
                  <w:r w:rsidR="00EF4C1D" w:rsidRPr="00394B38">
                    <w:rPr>
                      <w:rFonts w:eastAsiaTheme="minorHAnsi"/>
                      <w:sz w:val="20"/>
                      <w:szCs w:val="20"/>
                      <w:lang w:val="ro-MD"/>
                    </w:rPr>
                    <w:t xml:space="preserve"> </w:t>
                  </w:r>
                  <w:r w:rsidRPr="00394B38">
                    <w:rPr>
                      <w:rFonts w:eastAsiaTheme="minorHAnsi"/>
                      <w:sz w:val="20"/>
                      <w:szCs w:val="20"/>
                      <w:lang w:val="ro-MD"/>
                    </w:rPr>
                    <w:t>949</w:t>
                  </w:r>
                </w:p>
              </w:tc>
            </w:tr>
            <w:tr w:rsidR="00394B38" w:rsidRPr="00394B38" w14:paraId="39D82D9B"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E3823F5"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7</w:t>
                  </w:r>
                </w:p>
              </w:tc>
              <w:tc>
                <w:tcPr>
                  <w:tcW w:w="2397" w:type="dxa"/>
                  <w:tcBorders>
                    <w:top w:val="nil"/>
                    <w:left w:val="nil"/>
                    <w:bottom w:val="single" w:sz="4" w:space="0" w:color="auto"/>
                    <w:right w:val="single" w:sz="4" w:space="0" w:color="auto"/>
                  </w:tcBorders>
                  <w:shd w:val="clear" w:color="000000" w:fill="FFFFFF"/>
                  <w:vAlign w:val="center"/>
                  <w:hideMark/>
                </w:tcPr>
                <w:p w14:paraId="0AC838F0"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Valoarea rezervei daunelor neavizate, mdl </w:t>
                  </w:r>
                </w:p>
              </w:tc>
              <w:tc>
                <w:tcPr>
                  <w:tcW w:w="961" w:type="dxa"/>
                  <w:tcBorders>
                    <w:top w:val="nil"/>
                    <w:left w:val="nil"/>
                    <w:bottom w:val="single" w:sz="4" w:space="0" w:color="auto"/>
                    <w:right w:val="single" w:sz="4" w:space="0" w:color="auto"/>
                  </w:tcBorders>
                  <w:shd w:val="clear" w:color="000000" w:fill="FFFFFF"/>
                  <w:vAlign w:val="center"/>
                </w:tcPr>
                <w:p w14:paraId="3E3CF4E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RDN</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B1D3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FFF"/>
                  <w:noWrap/>
                  <w:vAlign w:val="center"/>
                  <w:hideMark/>
                </w:tcPr>
                <w:p w14:paraId="4AED0A78" w14:textId="7EE10459"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r w:rsidR="00EF4C1D" w:rsidRPr="00394B38">
                    <w:rPr>
                      <w:rFonts w:eastAsiaTheme="minorHAnsi"/>
                      <w:sz w:val="20"/>
                      <w:szCs w:val="20"/>
                      <w:lang w:val="ro-MD"/>
                    </w:rPr>
                    <w:t xml:space="preserve"> </w:t>
                  </w:r>
                  <w:r w:rsidRPr="00394B38">
                    <w:rPr>
                      <w:rFonts w:eastAsiaTheme="minorHAnsi"/>
                      <w:sz w:val="20"/>
                      <w:szCs w:val="20"/>
                      <w:lang w:val="ro-MD"/>
                    </w:rPr>
                    <w:t>140</w:t>
                  </w:r>
                </w:p>
              </w:tc>
              <w:tc>
                <w:tcPr>
                  <w:tcW w:w="1211" w:type="dxa"/>
                  <w:tcBorders>
                    <w:top w:val="nil"/>
                    <w:left w:val="nil"/>
                    <w:bottom w:val="single" w:sz="4" w:space="0" w:color="auto"/>
                    <w:right w:val="single" w:sz="4" w:space="0" w:color="auto"/>
                  </w:tcBorders>
                  <w:shd w:val="clear" w:color="000000" w:fill="FFFFFF"/>
                  <w:noWrap/>
                  <w:vAlign w:val="center"/>
                  <w:hideMark/>
                </w:tcPr>
                <w:p w14:paraId="02B7739E" w14:textId="160887AD"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537</w:t>
                  </w:r>
                  <w:r w:rsidR="00EF4C1D" w:rsidRPr="00394B38">
                    <w:rPr>
                      <w:rFonts w:eastAsiaTheme="minorHAnsi"/>
                      <w:sz w:val="20"/>
                      <w:szCs w:val="20"/>
                      <w:lang w:val="ro-MD"/>
                    </w:rPr>
                    <w:t xml:space="preserve"> </w:t>
                  </w:r>
                  <w:r w:rsidRPr="00394B38">
                    <w:rPr>
                      <w:rFonts w:eastAsiaTheme="minorHAnsi"/>
                      <w:sz w:val="20"/>
                      <w:szCs w:val="20"/>
                      <w:lang w:val="ro-MD"/>
                    </w:rPr>
                    <w:t>626</w:t>
                  </w:r>
                </w:p>
              </w:tc>
              <w:tc>
                <w:tcPr>
                  <w:tcW w:w="1134" w:type="dxa"/>
                  <w:tcBorders>
                    <w:top w:val="nil"/>
                    <w:left w:val="nil"/>
                    <w:bottom w:val="single" w:sz="4" w:space="0" w:color="auto"/>
                    <w:right w:val="single" w:sz="4" w:space="0" w:color="auto"/>
                  </w:tcBorders>
                  <w:shd w:val="clear" w:color="000000" w:fill="FFFFFF"/>
                  <w:noWrap/>
                  <w:vAlign w:val="center"/>
                  <w:hideMark/>
                </w:tcPr>
                <w:p w14:paraId="52DB1597" w14:textId="22B65801"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4</w:t>
                  </w:r>
                  <w:r w:rsidR="00EF4C1D" w:rsidRPr="00394B38">
                    <w:rPr>
                      <w:rFonts w:eastAsiaTheme="minorHAnsi"/>
                      <w:sz w:val="20"/>
                      <w:szCs w:val="20"/>
                      <w:lang w:val="ro-MD"/>
                    </w:rPr>
                    <w:t xml:space="preserve"> </w:t>
                  </w:r>
                  <w:r w:rsidRPr="00394B38">
                    <w:rPr>
                      <w:rFonts w:eastAsiaTheme="minorHAnsi"/>
                      <w:sz w:val="20"/>
                      <w:szCs w:val="20"/>
                      <w:lang w:val="ro-MD"/>
                    </w:rPr>
                    <w:t>898</w:t>
                  </w:r>
                  <w:r w:rsidR="00EF4C1D" w:rsidRPr="00394B38">
                    <w:rPr>
                      <w:rFonts w:eastAsiaTheme="minorHAnsi"/>
                      <w:sz w:val="20"/>
                      <w:szCs w:val="20"/>
                      <w:lang w:val="ro-MD"/>
                    </w:rPr>
                    <w:t xml:space="preserve"> </w:t>
                  </w:r>
                  <w:r w:rsidRPr="00394B38">
                    <w:rPr>
                      <w:rFonts w:eastAsiaTheme="minorHAnsi"/>
                      <w:sz w:val="20"/>
                      <w:szCs w:val="20"/>
                      <w:lang w:val="ro-MD"/>
                    </w:rPr>
                    <w:t>082</w:t>
                  </w:r>
                </w:p>
              </w:tc>
            </w:tr>
            <w:tr w:rsidR="00394B38" w:rsidRPr="00394B38" w14:paraId="17BB4872"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55A656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8</w:t>
                  </w:r>
                </w:p>
              </w:tc>
              <w:tc>
                <w:tcPr>
                  <w:tcW w:w="2397" w:type="dxa"/>
                  <w:tcBorders>
                    <w:top w:val="nil"/>
                    <w:left w:val="nil"/>
                    <w:bottom w:val="single" w:sz="4" w:space="0" w:color="auto"/>
                    <w:right w:val="single" w:sz="4" w:space="0" w:color="auto"/>
                  </w:tcBorders>
                  <w:shd w:val="clear" w:color="000000" w:fill="FFFFFF"/>
                  <w:vAlign w:val="center"/>
                  <w:hideMark/>
                </w:tcPr>
                <w:p w14:paraId="67F209C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Dauna medie estimată</w:t>
                  </w:r>
                </w:p>
              </w:tc>
              <w:tc>
                <w:tcPr>
                  <w:tcW w:w="961" w:type="dxa"/>
                  <w:tcBorders>
                    <w:top w:val="nil"/>
                    <w:left w:val="nil"/>
                    <w:bottom w:val="single" w:sz="4" w:space="0" w:color="auto"/>
                    <w:right w:val="single" w:sz="4" w:space="0" w:color="auto"/>
                  </w:tcBorders>
                  <w:shd w:val="clear" w:color="000000" w:fill="FFFFFF"/>
                  <w:vAlign w:val="center"/>
                </w:tcPr>
                <w:p w14:paraId="4B6EB2F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D</w:t>
                  </w:r>
                  <w:r w:rsidRPr="00394B38">
                    <w:rPr>
                      <w:rFonts w:eastAsiaTheme="minorHAnsi"/>
                      <w:sz w:val="16"/>
                      <w:szCs w:val="16"/>
                      <w:lang w:val="ro-MD"/>
                    </w:rPr>
                    <w:t>medie</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4C87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FFF"/>
                  <w:noWrap/>
                  <w:vAlign w:val="center"/>
                  <w:hideMark/>
                </w:tcPr>
                <w:p w14:paraId="2E1B0DB7" w14:textId="5F845306"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w:t>
                  </w:r>
                  <w:r w:rsidR="00EF4C1D" w:rsidRPr="00394B38">
                    <w:rPr>
                      <w:rFonts w:eastAsiaTheme="minorHAnsi"/>
                      <w:sz w:val="20"/>
                      <w:szCs w:val="20"/>
                      <w:lang w:val="ro-MD"/>
                    </w:rPr>
                    <w:t xml:space="preserve"> </w:t>
                  </w:r>
                  <w:r w:rsidRPr="00394B38">
                    <w:rPr>
                      <w:rFonts w:eastAsiaTheme="minorHAnsi"/>
                      <w:sz w:val="20"/>
                      <w:szCs w:val="20"/>
                      <w:lang w:val="ro-MD"/>
                    </w:rPr>
                    <w:t>710,13</w:t>
                  </w:r>
                </w:p>
              </w:tc>
              <w:tc>
                <w:tcPr>
                  <w:tcW w:w="1211" w:type="dxa"/>
                  <w:tcBorders>
                    <w:top w:val="nil"/>
                    <w:left w:val="nil"/>
                    <w:bottom w:val="single" w:sz="4" w:space="0" w:color="auto"/>
                    <w:right w:val="single" w:sz="4" w:space="0" w:color="auto"/>
                  </w:tcBorders>
                  <w:shd w:val="clear" w:color="000000" w:fill="FFFFFF"/>
                  <w:noWrap/>
                  <w:vAlign w:val="center"/>
                  <w:hideMark/>
                </w:tcPr>
                <w:p w14:paraId="5EE9FDD2" w14:textId="1BBD62AF"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w:t>
                  </w:r>
                  <w:r w:rsidR="00EF4C1D" w:rsidRPr="00394B38">
                    <w:rPr>
                      <w:rFonts w:eastAsiaTheme="minorHAnsi"/>
                      <w:sz w:val="20"/>
                      <w:szCs w:val="20"/>
                      <w:lang w:val="ro-MD"/>
                    </w:rPr>
                    <w:t xml:space="preserve"> </w:t>
                  </w:r>
                  <w:r w:rsidRPr="00394B38">
                    <w:rPr>
                      <w:rFonts w:eastAsiaTheme="minorHAnsi"/>
                      <w:sz w:val="20"/>
                      <w:szCs w:val="20"/>
                      <w:lang w:val="ro-MD"/>
                    </w:rPr>
                    <w:t>808,27</w:t>
                  </w:r>
                </w:p>
              </w:tc>
              <w:tc>
                <w:tcPr>
                  <w:tcW w:w="1134" w:type="dxa"/>
                  <w:tcBorders>
                    <w:top w:val="nil"/>
                    <w:left w:val="nil"/>
                    <w:bottom w:val="single" w:sz="4" w:space="0" w:color="auto"/>
                    <w:right w:val="single" w:sz="4" w:space="0" w:color="auto"/>
                  </w:tcBorders>
                  <w:shd w:val="clear" w:color="000000" w:fill="FFFFFF"/>
                  <w:noWrap/>
                  <w:vAlign w:val="center"/>
                  <w:hideMark/>
                </w:tcPr>
                <w:p w14:paraId="51BB410C" w14:textId="76449134"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w:t>
                  </w:r>
                  <w:r w:rsidR="00EF4C1D" w:rsidRPr="00394B38">
                    <w:rPr>
                      <w:rFonts w:eastAsiaTheme="minorHAnsi"/>
                      <w:sz w:val="20"/>
                      <w:szCs w:val="20"/>
                      <w:lang w:val="ro-MD"/>
                    </w:rPr>
                    <w:t xml:space="preserve"> </w:t>
                  </w:r>
                  <w:r w:rsidRPr="00394B38">
                    <w:rPr>
                      <w:rFonts w:eastAsiaTheme="minorHAnsi"/>
                      <w:sz w:val="20"/>
                      <w:szCs w:val="20"/>
                      <w:lang w:val="ro-MD"/>
                    </w:rPr>
                    <w:t>633,66</w:t>
                  </w:r>
                </w:p>
              </w:tc>
            </w:tr>
            <w:tr w:rsidR="00394B38" w:rsidRPr="00394B38" w14:paraId="716F7D7C"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6D7042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9</w:t>
                  </w:r>
                </w:p>
              </w:tc>
              <w:tc>
                <w:tcPr>
                  <w:tcW w:w="2397" w:type="dxa"/>
                  <w:tcBorders>
                    <w:top w:val="nil"/>
                    <w:left w:val="nil"/>
                    <w:bottom w:val="single" w:sz="4" w:space="0" w:color="auto"/>
                    <w:right w:val="single" w:sz="4" w:space="0" w:color="auto"/>
                  </w:tcBorders>
                  <w:shd w:val="clear" w:color="000000" w:fill="FFFFFF"/>
                  <w:vAlign w:val="center"/>
                  <w:hideMark/>
                </w:tcPr>
                <w:p w14:paraId="01C6EB4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 xml:space="preserve">Valoarea medie a daunelor </w:t>
                  </w:r>
                </w:p>
              </w:tc>
              <w:tc>
                <w:tcPr>
                  <w:tcW w:w="961" w:type="dxa"/>
                  <w:tcBorders>
                    <w:top w:val="nil"/>
                    <w:left w:val="nil"/>
                    <w:bottom w:val="single" w:sz="4" w:space="0" w:color="auto"/>
                    <w:right w:val="single" w:sz="4" w:space="0" w:color="auto"/>
                  </w:tcBorders>
                  <w:shd w:val="clear" w:color="000000" w:fill="FFFFFF"/>
                  <w:vAlign w:val="center"/>
                </w:tcPr>
                <w:p w14:paraId="473C51C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µ</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1A942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46B301A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6,9612</w:t>
                  </w:r>
                </w:p>
              </w:tc>
              <w:tc>
                <w:tcPr>
                  <w:tcW w:w="1211" w:type="dxa"/>
                  <w:tcBorders>
                    <w:top w:val="nil"/>
                    <w:left w:val="nil"/>
                    <w:bottom w:val="single" w:sz="4" w:space="0" w:color="auto"/>
                    <w:right w:val="single" w:sz="4" w:space="0" w:color="auto"/>
                  </w:tcBorders>
                  <w:shd w:val="clear" w:color="000000" w:fill="FFFFFF"/>
                  <w:noWrap/>
                  <w:vAlign w:val="center"/>
                  <w:hideMark/>
                </w:tcPr>
                <w:p w14:paraId="5C540B6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6,6889</w:t>
                  </w:r>
                </w:p>
              </w:tc>
              <w:tc>
                <w:tcPr>
                  <w:tcW w:w="1134" w:type="dxa"/>
                  <w:tcBorders>
                    <w:top w:val="nil"/>
                    <w:left w:val="nil"/>
                    <w:bottom w:val="single" w:sz="4" w:space="0" w:color="auto"/>
                    <w:right w:val="single" w:sz="4" w:space="0" w:color="auto"/>
                  </w:tcBorders>
                  <w:shd w:val="clear" w:color="000000" w:fill="FFFFFF"/>
                  <w:noWrap/>
                  <w:vAlign w:val="center"/>
                  <w:hideMark/>
                </w:tcPr>
                <w:p w14:paraId="1F46928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7,1767</w:t>
                  </w:r>
                </w:p>
              </w:tc>
            </w:tr>
            <w:tr w:rsidR="00394B38" w:rsidRPr="00394B38" w14:paraId="7FD5A83C"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D2DEC57"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10</w:t>
                  </w:r>
                </w:p>
              </w:tc>
              <w:tc>
                <w:tcPr>
                  <w:tcW w:w="2397" w:type="dxa"/>
                  <w:tcBorders>
                    <w:top w:val="nil"/>
                    <w:left w:val="nil"/>
                    <w:bottom w:val="single" w:sz="4" w:space="0" w:color="auto"/>
                    <w:right w:val="single" w:sz="4" w:space="0" w:color="auto"/>
                  </w:tcBorders>
                  <w:shd w:val="clear" w:color="000000" w:fill="FFFFFF"/>
                  <w:vAlign w:val="center"/>
                  <w:hideMark/>
                </w:tcPr>
                <w:p w14:paraId="45D0ADD5"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Eroarea standard</w:t>
                  </w:r>
                </w:p>
              </w:tc>
              <w:tc>
                <w:tcPr>
                  <w:tcW w:w="961" w:type="dxa"/>
                  <w:tcBorders>
                    <w:top w:val="nil"/>
                    <w:left w:val="nil"/>
                    <w:bottom w:val="single" w:sz="4" w:space="0" w:color="auto"/>
                    <w:right w:val="single" w:sz="4" w:space="0" w:color="auto"/>
                  </w:tcBorders>
                  <w:shd w:val="clear" w:color="000000" w:fill="FFFFFF"/>
                  <w:vAlign w:val="center"/>
                </w:tcPr>
                <w:p w14:paraId="71A9914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S2</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36526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6C038FD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0,9663</w:t>
                  </w:r>
                </w:p>
              </w:tc>
              <w:tc>
                <w:tcPr>
                  <w:tcW w:w="1211" w:type="dxa"/>
                  <w:tcBorders>
                    <w:top w:val="nil"/>
                    <w:left w:val="nil"/>
                    <w:bottom w:val="single" w:sz="4" w:space="0" w:color="auto"/>
                    <w:right w:val="single" w:sz="4" w:space="0" w:color="auto"/>
                  </w:tcBorders>
                  <w:shd w:val="clear" w:color="000000" w:fill="FFFFFF"/>
                  <w:noWrap/>
                  <w:vAlign w:val="center"/>
                  <w:hideMark/>
                </w:tcPr>
                <w:p w14:paraId="5FB1BF7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1,6224</w:t>
                  </w:r>
                </w:p>
              </w:tc>
              <w:tc>
                <w:tcPr>
                  <w:tcW w:w="1134" w:type="dxa"/>
                  <w:tcBorders>
                    <w:top w:val="nil"/>
                    <w:left w:val="nil"/>
                    <w:bottom w:val="single" w:sz="4" w:space="0" w:color="auto"/>
                    <w:right w:val="single" w:sz="4" w:space="0" w:color="auto"/>
                  </w:tcBorders>
                  <w:shd w:val="clear" w:color="000000" w:fill="FFFFFF"/>
                  <w:noWrap/>
                  <w:vAlign w:val="center"/>
                  <w:hideMark/>
                </w:tcPr>
                <w:p w14:paraId="410BE17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1,3988</w:t>
                  </w:r>
                </w:p>
              </w:tc>
            </w:tr>
            <w:tr w:rsidR="00394B38" w:rsidRPr="00394B38" w14:paraId="0D2E7B8F"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2A3F85D"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11</w:t>
                  </w:r>
                </w:p>
              </w:tc>
              <w:tc>
                <w:tcPr>
                  <w:tcW w:w="2397" w:type="dxa"/>
                  <w:tcBorders>
                    <w:top w:val="nil"/>
                    <w:left w:val="nil"/>
                    <w:bottom w:val="single" w:sz="4" w:space="0" w:color="auto"/>
                    <w:right w:val="single" w:sz="4" w:space="0" w:color="auto"/>
                  </w:tcBorders>
                  <w:shd w:val="clear" w:color="000000" w:fill="FFFFFF"/>
                  <w:vAlign w:val="center"/>
                  <w:hideMark/>
                </w:tcPr>
                <w:p w14:paraId="277BD74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Abaterea medie pătratică a daunelor</w:t>
                  </w:r>
                </w:p>
              </w:tc>
              <w:tc>
                <w:tcPr>
                  <w:tcW w:w="961" w:type="dxa"/>
                  <w:tcBorders>
                    <w:top w:val="nil"/>
                    <w:left w:val="nil"/>
                    <w:bottom w:val="single" w:sz="4" w:space="0" w:color="auto"/>
                    <w:right w:val="single" w:sz="4" w:space="0" w:color="auto"/>
                  </w:tcBorders>
                  <w:shd w:val="clear" w:color="000000" w:fill="FFFFFF"/>
                  <w:vAlign w:val="center"/>
                </w:tcPr>
                <w:p w14:paraId="54FEDAA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Ϭd</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6BE96"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139A67BF" w14:textId="2EB7A41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w:t>
                  </w:r>
                  <w:r w:rsidR="00EF4C1D" w:rsidRPr="00394B38">
                    <w:rPr>
                      <w:rFonts w:eastAsiaTheme="minorHAnsi"/>
                      <w:sz w:val="20"/>
                      <w:szCs w:val="20"/>
                      <w:lang w:val="ro-MD"/>
                    </w:rPr>
                    <w:t xml:space="preserve"> </w:t>
                  </w:r>
                  <w:r w:rsidRPr="00394B38">
                    <w:rPr>
                      <w:rFonts w:eastAsiaTheme="minorHAnsi"/>
                      <w:sz w:val="20"/>
                      <w:szCs w:val="20"/>
                      <w:lang w:val="ro-MD"/>
                    </w:rPr>
                    <w:t>182,09</w:t>
                  </w:r>
                </w:p>
              </w:tc>
              <w:tc>
                <w:tcPr>
                  <w:tcW w:w="1211" w:type="dxa"/>
                  <w:tcBorders>
                    <w:top w:val="nil"/>
                    <w:left w:val="nil"/>
                    <w:bottom w:val="single" w:sz="4" w:space="0" w:color="auto"/>
                    <w:right w:val="single" w:sz="4" w:space="0" w:color="auto"/>
                  </w:tcBorders>
                  <w:shd w:val="clear" w:color="000000" w:fill="FFFFFF"/>
                  <w:noWrap/>
                  <w:vAlign w:val="center"/>
                  <w:hideMark/>
                </w:tcPr>
                <w:p w14:paraId="258AC967" w14:textId="7A1E493D"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w:t>
                  </w:r>
                  <w:r w:rsidR="00EF4C1D" w:rsidRPr="00394B38">
                    <w:rPr>
                      <w:rFonts w:eastAsiaTheme="minorHAnsi"/>
                      <w:sz w:val="20"/>
                      <w:szCs w:val="20"/>
                      <w:lang w:val="ro-MD"/>
                    </w:rPr>
                    <w:t xml:space="preserve"> </w:t>
                  </w:r>
                  <w:r w:rsidRPr="00394B38">
                    <w:rPr>
                      <w:rFonts w:eastAsiaTheme="minorHAnsi"/>
                      <w:sz w:val="20"/>
                      <w:szCs w:val="20"/>
                      <w:lang w:val="ro-MD"/>
                    </w:rPr>
                    <w:t>645,83</w:t>
                  </w:r>
                </w:p>
              </w:tc>
              <w:tc>
                <w:tcPr>
                  <w:tcW w:w="1134" w:type="dxa"/>
                  <w:tcBorders>
                    <w:top w:val="nil"/>
                    <w:left w:val="nil"/>
                    <w:bottom w:val="single" w:sz="4" w:space="0" w:color="auto"/>
                    <w:right w:val="single" w:sz="4" w:space="0" w:color="auto"/>
                  </w:tcBorders>
                  <w:shd w:val="clear" w:color="000000" w:fill="FFFFFF"/>
                  <w:noWrap/>
                  <w:vAlign w:val="center"/>
                  <w:hideMark/>
                </w:tcPr>
                <w:p w14:paraId="585D450A" w14:textId="6D58A6EA"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4</w:t>
                  </w:r>
                  <w:r w:rsidR="00EF4C1D" w:rsidRPr="00394B38">
                    <w:rPr>
                      <w:rFonts w:eastAsiaTheme="minorHAnsi"/>
                      <w:sz w:val="20"/>
                      <w:szCs w:val="20"/>
                      <w:lang w:val="ro-MD"/>
                    </w:rPr>
                    <w:t xml:space="preserve"> </w:t>
                  </w:r>
                  <w:r w:rsidRPr="00394B38">
                    <w:rPr>
                      <w:rFonts w:eastAsiaTheme="minorHAnsi"/>
                      <w:sz w:val="20"/>
                      <w:szCs w:val="20"/>
                      <w:lang w:val="ro-MD"/>
                    </w:rPr>
                    <w:t>599,64</w:t>
                  </w:r>
                </w:p>
              </w:tc>
            </w:tr>
            <w:tr w:rsidR="00394B38" w:rsidRPr="00394B38" w14:paraId="3FDF7C6D"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B46D82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12</w:t>
                  </w:r>
                </w:p>
              </w:tc>
              <w:tc>
                <w:tcPr>
                  <w:tcW w:w="2397" w:type="dxa"/>
                  <w:tcBorders>
                    <w:top w:val="nil"/>
                    <w:left w:val="nil"/>
                    <w:bottom w:val="single" w:sz="4" w:space="0" w:color="auto"/>
                    <w:right w:val="single" w:sz="4" w:space="0" w:color="auto"/>
                  </w:tcBorders>
                  <w:shd w:val="clear" w:color="000000" w:fill="FFFFFF"/>
                  <w:vAlign w:val="center"/>
                  <w:hideMark/>
                </w:tcPr>
                <w:p w14:paraId="77DEC9F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Coeficientul variației daunelor totale</w:t>
                  </w:r>
                </w:p>
              </w:tc>
              <w:tc>
                <w:tcPr>
                  <w:tcW w:w="961" w:type="dxa"/>
                  <w:tcBorders>
                    <w:top w:val="nil"/>
                    <w:left w:val="nil"/>
                    <w:bottom w:val="single" w:sz="4" w:space="0" w:color="auto"/>
                    <w:right w:val="single" w:sz="4" w:space="0" w:color="auto"/>
                  </w:tcBorders>
                  <w:shd w:val="clear" w:color="000000" w:fill="FFFFFF"/>
                  <w:vAlign w:val="center"/>
                </w:tcPr>
                <w:p w14:paraId="38F6463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V</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FBA9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9D6F9B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1,28</w:t>
                  </w:r>
                </w:p>
              </w:tc>
              <w:tc>
                <w:tcPr>
                  <w:tcW w:w="1211" w:type="dxa"/>
                  <w:tcBorders>
                    <w:top w:val="nil"/>
                    <w:left w:val="nil"/>
                    <w:bottom w:val="single" w:sz="4" w:space="0" w:color="auto"/>
                    <w:right w:val="single" w:sz="4" w:space="0" w:color="auto"/>
                  </w:tcBorders>
                  <w:shd w:val="clear" w:color="000000" w:fill="FFFFFF"/>
                  <w:noWrap/>
                  <w:vAlign w:val="center"/>
                  <w:hideMark/>
                </w:tcPr>
                <w:p w14:paraId="0735E14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2,02</w:t>
                  </w:r>
                </w:p>
              </w:tc>
              <w:tc>
                <w:tcPr>
                  <w:tcW w:w="1134" w:type="dxa"/>
                  <w:tcBorders>
                    <w:top w:val="nil"/>
                    <w:left w:val="nil"/>
                    <w:bottom w:val="single" w:sz="4" w:space="0" w:color="auto"/>
                    <w:right w:val="single" w:sz="4" w:space="0" w:color="auto"/>
                  </w:tcBorders>
                  <w:shd w:val="clear" w:color="000000" w:fill="FFFFFF"/>
                  <w:noWrap/>
                  <w:vAlign w:val="center"/>
                  <w:hideMark/>
                </w:tcPr>
                <w:p w14:paraId="391042C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1,75</w:t>
                  </w:r>
                </w:p>
              </w:tc>
            </w:tr>
            <w:tr w:rsidR="00394B38" w:rsidRPr="00394B38" w14:paraId="51EE4FDF" w14:textId="77777777" w:rsidTr="00760963">
              <w:trPr>
                <w:trHeight w:val="19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BB5462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13</w:t>
                  </w:r>
                </w:p>
              </w:tc>
              <w:tc>
                <w:tcPr>
                  <w:tcW w:w="2397" w:type="dxa"/>
                  <w:tcBorders>
                    <w:top w:val="nil"/>
                    <w:left w:val="nil"/>
                    <w:bottom w:val="single" w:sz="4" w:space="0" w:color="auto"/>
                    <w:right w:val="single" w:sz="4" w:space="0" w:color="auto"/>
                  </w:tcBorders>
                  <w:shd w:val="clear" w:color="000000" w:fill="FFF2CC"/>
                  <w:vAlign w:val="center"/>
                  <w:hideMark/>
                </w:tcPr>
                <w:p w14:paraId="745116DD"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Prima pură</w:t>
                  </w:r>
                </w:p>
              </w:tc>
              <w:tc>
                <w:tcPr>
                  <w:tcW w:w="961" w:type="dxa"/>
                  <w:tcBorders>
                    <w:top w:val="nil"/>
                    <w:left w:val="nil"/>
                    <w:bottom w:val="single" w:sz="4" w:space="0" w:color="auto"/>
                    <w:right w:val="single" w:sz="4" w:space="0" w:color="auto"/>
                  </w:tcBorders>
                  <w:shd w:val="clear" w:color="000000" w:fill="FFF2CC"/>
                  <w:vAlign w:val="center"/>
                </w:tcPr>
                <w:p w14:paraId="65E70E4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Pp</w:t>
                  </w:r>
                </w:p>
              </w:tc>
              <w:tc>
                <w:tcPr>
                  <w:tcW w:w="1098" w:type="dxa"/>
                  <w:tcBorders>
                    <w:top w:val="single" w:sz="4" w:space="0" w:color="auto"/>
                    <w:left w:val="single" w:sz="4" w:space="0" w:color="auto"/>
                    <w:bottom w:val="single" w:sz="4" w:space="0" w:color="auto"/>
                    <w:right w:val="single" w:sz="4" w:space="0" w:color="auto"/>
                  </w:tcBorders>
                  <w:shd w:val="clear" w:color="000000" w:fill="FFF2CC"/>
                  <w:noWrap/>
                  <w:vAlign w:val="center"/>
                </w:tcPr>
                <w:p w14:paraId="6C1A91B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2CC"/>
                  <w:noWrap/>
                  <w:vAlign w:val="center"/>
                  <w:hideMark/>
                </w:tcPr>
                <w:p w14:paraId="52557CA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5,66</w:t>
                  </w:r>
                </w:p>
              </w:tc>
              <w:tc>
                <w:tcPr>
                  <w:tcW w:w="1211" w:type="dxa"/>
                  <w:tcBorders>
                    <w:top w:val="nil"/>
                    <w:left w:val="nil"/>
                    <w:bottom w:val="single" w:sz="4" w:space="0" w:color="auto"/>
                    <w:right w:val="single" w:sz="4" w:space="0" w:color="auto"/>
                  </w:tcBorders>
                  <w:shd w:val="clear" w:color="000000" w:fill="FFF2CC"/>
                  <w:noWrap/>
                  <w:vAlign w:val="center"/>
                  <w:hideMark/>
                </w:tcPr>
                <w:p w14:paraId="349C556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129,22</w:t>
                  </w:r>
                </w:p>
              </w:tc>
              <w:tc>
                <w:tcPr>
                  <w:tcW w:w="1134" w:type="dxa"/>
                  <w:tcBorders>
                    <w:top w:val="nil"/>
                    <w:left w:val="nil"/>
                    <w:bottom w:val="single" w:sz="4" w:space="0" w:color="auto"/>
                    <w:right w:val="single" w:sz="4" w:space="0" w:color="auto"/>
                  </w:tcBorders>
                  <w:shd w:val="clear" w:color="000000" w:fill="FFF2CC"/>
                  <w:noWrap/>
                  <w:vAlign w:val="center"/>
                  <w:hideMark/>
                </w:tcPr>
                <w:p w14:paraId="6C8553D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164,20</w:t>
                  </w:r>
                </w:p>
              </w:tc>
            </w:tr>
            <w:tr w:rsidR="00394B38" w:rsidRPr="00394B38" w14:paraId="203D221E" w14:textId="77777777" w:rsidTr="00760963">
              <w:trPr>
                <w:trHeight w:val="554"/>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E7B061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14</w:t>
                  </w:r>
                </w:p>
              </w:tc>
              <w:tc>
                <w:tcPr>
                  <w:tcW w:w="2397" w:type="dxa"/>
                  <w:tcBorders>
                    <w:top w:val="nil"/>
                    <w:left w:val="nil"/>
                    <w:bottom w:val="single" w:sz="4" w:space="0" w:color="auto"/>
                    <w:right w:val="single" w:sz="4" w:space="0" w:color="auto"/>
                  </w:tcBorders>
                  <w:shd w:val="clear" w:color="000000" w:fill="FFFFFF"/>
                  <w:vAlign w:val="center"/>
                  <w:hideMark/>
                </w:tcPr>
                <w:p w14:paraId="10A55F4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Coeficientul de siguranță</w:t>
                  </w:r>
                </w:p>
              </w:tc>
              <w:tc>
                <w:tcPr>
                  <w:tcW w:w="961" w:type="dxa"/>
                  <w:tcBorders>
                    <w:top w:val="nil"/>
                    <w:left w:val="nil"/>
                    <w:bottom w:val="single" w:sz="4" w:space="0" w:color="auto"/>
                    <w:right w:val="single" w:sz="4" w:space="0" w:color="auto"/>
                  </w:tcBorders>
                  <w:shd w:val="clear" w:color="000000" w:fill="FFFFFF"/>
                  <w:vAlign w:val="center"/>
                </w:tcPr>
                <w:p w14:paraId="3345B044"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α(g)</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87E96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p w14:paraId="601135C8" w14:textId="77777777" w:rsidR="00760963" w:rsidRPr="00394B38" w:rsidRDefault="00760963" w:rsidP="00E80124">
                  <w:pPr>
                    <w:jc w:val="center"/>
                    <w:rPr>
                      <w:rFonts w:eastAsiaTheme="minorHAnsi"/>
                      <w:sz w:val="20"/>
                      <w:szCs w:val="20"/>
                      <w:lang w:val="ro-MD"/>
                    </w:rPr>
                  </w:pPr>
                </w:p>
              </w:tc>
              <w:tc>
                <w:tcPr>
                  <w:tcW w:w="1276" w:type="dxa"/>
                  <w:tcBorders>
                    <w:top w:val="nil"/>
                    <w:left w:val="nil"/>
                    <w:bottom w:val="single" w:sz="4" w:space="0" w:color="auto"/>
                    <w:right w:val="single" w:sz="4" w:space="0" w:color="auto"/>
                  </w:tcBorders>
                  <w:shd w:val="clear" w:color="000000" w:fill="FFFFFF"/>
                  <w:noWrap/>
                  <w:vAlign w:val="center"/>
                  <w:hideMark/>
                </w:tcPr>
                <w:p w14:paraId="0F492A0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c>
                <w:tcPr>
                  <w:tcW w:w="1211" w:type="dxa"/>
                  <w:tcBorders>
                    <w:top w:val="nil"/>
                    <w:left w:val="nil"/>
                    <w:bottom w:val="single" w:sz="4" w:space="0" w:color="auto"/>
                    <w:right w:val="single" w:sz="4" w:space="0" w:color="auto"/>
                  </w:tcBorders>
                  <w:shd w:val="clear" w:color="000000" w:fill="FFFFFF"/>
                  <w:noWrap/>
                  <w:vAlign w:val="center"/>
                  <w:hideMark/>
                </w:tcPr>
                <w:p w14:paraId="04DEF9E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79251FAD"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r>
            <w:tr w:rsidR="00394B38" w:rsidRPr="00394B38" w14:paraId="3798C76A" w14:textId="77777777" w:rsidTr="00760963">
              <w:trPr>
                <w:trHeight w:val="256"/>
              </w:trPr>
              <w:tc>
                <w:tcPr>
                  <w:tcW w:w="6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28C8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15</w:t>
                  </w:r>
                </w:p>
              </w:tc>
              <w:tc>
                <w:tcPr>
                  <w:tcW w:w="2397" w:type="dxa"/>
                  <w:tcBorders>
                    <w:top w:val="single" w:sz="4" w:space="0" w:color="auto"/>
                    <w:left w:val="nil"/>
                    <w:bottom w:val="single" w:sz="4" w:space="0" w:color="auto"/>
                    <w:right w:val="single" w:sz="4" w:space="0" w:color="auto"/>
                  </w:tcBorders>
                  <w:shd w:val="clear" w:color="000000" w:fill="FFFFFF"/>
                  <w:vAlign w:val="center"/>
                  <w:hideMark/>
                </w:tcPr>
                <w:p w14:paraId="4DE5D04A"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Marja de risc</w:t>
                  </w:r>
                </w:p>
              </w:tc>
              <w:tc>
                <w:tcPr>
                  <w:tcW w:w="961" w:type="dxa"/>
                  <w:tcBorders>
                    <w:top w:val="single" w:sz="4" w:space="0" w:color="auto"/>
                    <w:left w:val="nil"/>
                    <w:bottom w:val="single" w:sz="4" w:space="0" w:color="auto"/>
                    <w:right w:val="single" w:sz="4" w:space="0" w:color="auto"/>
                  </w:tcBorders>
                  <w:shd w:val="clear" w:color="000000" w:fill="FFFFFF"/>
                  <w:vAlign w:val="center"/>
                </w:tcPr>
                <w:p w14:paraId="0474780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Pm</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D99E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7537D1"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4,99</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36EAEFB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80,69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FA54E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22,90</w:t>
                  </w:r>
                </w:p>
              </w:tc>
            </w:tr>
            <w:tr w:rsidR="00394B38" w:rsidRPr="00394B38" w14:paraId="1ADD44DB"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B26F3B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16</w:t>
                  </w:r>
                </w:p>
              </w:tc>
              <w:tc>
                <w:tcPr>
                  <w:tcW w:w="2397" w:type="dxa"/>
                  <w:tcBorders>
                    <w:top w:val="nil"/>
                    <w:left w:val="nil"/>
                    <w:bottom w:val="single" w:sz="4" w:space="0" w:color="auto"/>
                    <w:right w:val="single" w:sz="4" w:space="0" w:color="auto"/>
                  </w:tcBorders>
                  <w:shd w:val="clear" w:color="000000" w:fill="FFFFFF"/>
                  <w:vAlign w:val="center"/>
                  <w:hideMark/>
                </w:tcPr>
                <w:p w14:paraId="206094E4"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Rata medie anuală a inflației</w:t>
                  </w:r>
                </w:p>
              </w:tc>
              <w:tc>
                <w:tcPr>
                  <w:tcW w:w="961" w:type="dxa"/>
                  <w:tcBorders>
                    <w:top w:val="nil"/>
                    <w:left w:val="nil"/>
                    <w:bottom w:val="single" w:sz="4" w:space="0" w:color="auto"/>
                    <w:right w:val="single" w:sz="4" w:space="0" w:color="auto"/>
                  </w:tcBorders>
                  <w:shd w:val="clear" w:color="000000" w:fill="FFFFFF"/>
                  <w:vAlign w:val="center"/>
                </w:tcPr>
                <w:p w14:paraId="343CA766"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Ri</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ED33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0629B2A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28,7</w:t>
                  </w:r>
                </w:p>
              </w:tc>
              <w:tc>
                <w:tcPr>
                  <w:tcW w:w="1211" w:type="dxa"/>
                  <w:tcBorders>
                    <w:top w:val="nil"/>
                    <w:left w:val="nil"/>
                    <w:bottom w:val="single" w:sz="4" w:space="0" w:color="auto"/>
                    <w:right w:val="single" w:sz="4" w:space="0" w:color="auto"/>
                  </w:tcBorders>
                  <w:shd w:val="clear" w:color="000000" w:fill="FFFFFF"/>
                  <w:noWrap/>
                  <w:vAlign w:val="center"/>
                  <w:hideMark/>
                </w:tcPr>
                <w:p w14:paraId="08B8A4E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28,7</w:t>
                  </w:r>
                </w:p>
              </w:tc>
              <w:tc>
                <w:tcPr>
                  <w:tcW w:w="1134" w:type="dxa"/>
                  <w:tcBorders>
                    <w:top w:val="nil"/>
                    <w:left w:val="nil"/>
                    <w:bottom w:val="single" w:sz="4" w:space="0" w:color="auto"/>
                    <w:right w:val="single" w:sz="4" w:space="0" w:color="auto"/>
                  </w:tcBorders>
                  <w:shd w:val="clear" w:color="000000" w:fill="FFFFFF"/>
                  <w:noWrap/>
                  <w:vAlign w:val="center"/>
                  <w:hideMark/>
                </w:tcPr>
                <w:p w14:paraId="2E9B677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28,7</w:t>
                  </w:r>
                </w:p>
              </w:tc>
            </w:tr>
            <w:tr w:rsidR="00394B38" w:rsidRPr="00394B38" w14:paraId="7D2EBFAC" w14:textId="77777777" w:rsidTr="00760963">
              <w:trPr>
                <w:trHeight w:val="194"/>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5A74C5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17</w:t>
                  </w:r>
                </w:p>
              </w:tc>
              <w:tc>
                <w:tcPr>
                  <w:tcW w:w="2397" w:type="dxa"/>
                  <w:tcBorders>
                    <w:top w:val="nil"/>
                    <w:left w:val="nil"/>
                    <w:bottom w:val="single" w:sz="4" w:space="0" w:color="auto"/>
                    <w:right w:val="single" w:sz="4" w:space="0" w:color="auto"/>
                  </w:tcBorders>
                  <w:shd w:val="clear" w:color="000000" w:fill="FFF2CC"/>
                  <w:vAlign w:val="center"/>
                  <w:hideMark/>
                </w:tcPr>
                <w:p w14:paraId="6E297E93" w14:textId="16532CD6" w:rsidR="00760963" w:rsidRPr="00394B38" w:rsidRDefault="00760963">
                  <w:pPr>
                    <w:rPr>
                      <w:rFonts w:eastAsiaTheme="minorHAnsi"/>
                      <w:sz w:val="20"/>
                      <w:szCs w:val="20"/>
                      <w:lang w:val="ro-MD"/>
                    </w:rPr>
                  </w:pPr>
                  <w:r w:rsidRPr="00394B38">
                    <w:rPr>
                      <w:rFonts w:eastAsiaTheme="minorHAnsi"/>
                      <w:sz w:val="20"/>
                      <w:szCs w:val="20"/>
                      <w:lang w:val="ro-MD"/>
                    </w:rPr>
                    <w:t>Prima de risc estimat</w:t>
                  </w:r>
                  <w:r w:rsidR="00A32609">
                    <w:rPr>
                      <w:rFonts w:eastAsiaTheme="minorHAnsi"/>
                      <w:sz w:val="20"/>
                      <w:szCs w:val="20"/>
                      <w:lang w:val="ro-MD"/>
                    </w:rPr>
                    <w:t>ă</w:t>
                  </w:r>
                </w:p>
              </w:tc>
              <w:tc>
                <w:tcPr>
                  <w:tcW w:w="961" w:type="dxa"/>
                  <w:tcBorders>
                    <w:top w:val="nil"/>
                    <w:left w:val="nil"/>
                    <w:bottom w:val="single" w:sz="4" w:space="0" w:color="auto"/>
                    <w:right w:val="single" w:sz="4" w:space="0" w:color="auto"/>
                  </w:tcBorders>
                  <w:shd w:val="clear" w:color="000000" w:fill="FFF2CC"/>
                  <w:vAlign w:val="center"/>
                </w:tcPr>
                <w:p w14:paraId="48E9B1BB"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Pe</w:t>
                  </w:r>
                </w:p>
              </w:tc>
              <w:tc>
                <w:tcPr>
                  <w:tcW w:w="1098" w:type="dxa"/>
                  <w:tcBorders>
                    <w:top w:val="single" w:sz="4" w:space="0" w:color="auto"/>
                    <w:left w:val="single" w:sz="4" w:space="0" w:color="auto"/>
                    <w:bottom w:val="single" w:sz="4" w:space="0" w:color="auto"/>
                    <w:right w:val="single" w:sz="4" w:space="0" w:color="auto"/>
                  </w:tcBorders>
                  <w:shd w:val="clear" w:color="000000" w:fill="FFF2CC"/>
                  <w:noWrap/>
                  <w:vAlign w:val="center"/>
                </w:tcPr>
                <w:p w14:paraId="4854352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2CC"/>
                  <w:noWrap/>
                  <w:vAlign w:val="center"/>
                  <w:hideMark/>
                </w:tcPr>
                <w:p w14:paraId="61886B1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13,71</w:t>
                  </w:r>
                </w:p>
              </w:tc>
              <w:tc>
                <w:tcPr>
                  <w:tcW w:w="1211" w:type="dxa"/>
                  <w:tcBorders>
                    <w:top w:val="nil"/>
                    <w:left w:val="nil"/>
                    <w:bottom w:val="single" w:sz="4" w:space="0" w:color="auto"/>
                    <w:right w:val="single" w:sz="4" w:space="0" w:color="auto"/>
                  </w:tcBorders>
                  <w:shd w:val="clear" w:color="000000" w:fill="FFF2CC"/>
                  <w:noWrap/>
                  <w:vAlign w:val="center"/>
                  <w:hideMark/>
                </w:tcPr>
                <w:p w14:paraId="4982361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270,16</w:t>
                  </w:r>
                </w:p>
              </w:tc>
              <w:tc>
                <w:tcPr>
                  <w:tcW w:w="1134" w:type="dxa"/>
                  <w:tcBorders>
                    <w:top w:val="nil"/>
                    <w:left w:val="nil"/>
                    <w:bottom w:val="single" w:sz="4" w:space="0" w:color="auto"/>
                    <w:right w:val="single" w:sz="4" w:space="0" w:color="auto"/>
                  </w:tcBorders>
                  <w:shd w:val="clear" w:color="000000" w:fill="FFF2CC"/>
                  <w:noWrap/>
                  <w:vAlign w:val="center"/>
                  <w:hideMark/>
                </w:tcPr>
                <w:p w14:paraId="2361E22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240,80</w:t>
                  </w:r>
                </w:p>
              </w:tc>
            </w:tr>
            <w:tr w:rsidR="00394B38" w:rsidRPr="00394B38" w14:paraId="6AA434BE"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57C15D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18</w:t>
                  </w:r>
                </w:p>
              </w:tc>
              <w:tc>
                <w:tcPr>
                  <w:tcW w:w="2397" w:type="dxa"/>
                  <w:tcBorders>
                    <w:top w:val="nil"/>
                    <w:left w:val="nil"/>
                    <w:bottom w:val="single" w:sz="4" w:space="0" w:color="auto"/>
                    <w:right w:val="single" w:sz="4" w:space="0" w:color="auto"/>
                  </w:tcBorders>
                  <w:shd w:val="clear" w:color="000000" w:fill="FFFFFF"/>
                  <w:vAlign w:val="center"/>
                  <w:hideMark/>
                </w:tcPr>
                <w:p w14:paraId="045E5909"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Cota factorului de încărcare în tariful de referință</w:t>
                  </w:r>
                </w:p>
              </w:tc>
              <w:tc>
                <w:tcPr>
                  <w:tcW w:w="961" w:type="dxa"/>
                  <w:tcBorders>
                    <w:top w:val="nil"/>
                    <w:left w:val="nil"/>
                    <w:bottom w:val="single" w:sz="4" w:space="0" w:color="auto"/>
                    <w:right w:val="single" w:sz="4" w:space="0" w:color="auto"/>
                  </w:tcBorders>
                  <w:shd w:val="clear" w:color="000000" w:fill="FFFFFF"/>
                  <w:vAlign w:val="center"/>
                </w:tcPr>
                <w:p w14:paraId="328A5AC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cheltuieli</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C95A17"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auto" w:fill="auto"/>
                  <w:noWrap/>
                  <w:vAlign w:val="center"/>
                  <w:hideMark/>
                </w:tcPr>
                <w:p w14:paraId="4791D70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25%</w:t>
                  </w:r>
                </w:p>
              </w:tc>
              <w:tc>
                <w:tcPr>
                  <w:tcW w:w="1211" w:type="dxa"/>
                  <w:tcBorders>
                    <w:top w:val="nil"/>
                    <w:left w:val="nil"/>
                    <w:bottom w:val="single" w:sz="4" w:space="0" w:color="auto"/>
                    <w:right w:val="single" w:sz="4" w:space="0" w:color="auto"/>
                  </w:tcBorders>
                  <w:shd w:val="clear" w:color="auto" w:fill="auto"/>
                  <w:noWrap/>
                  <w:vAlign w:val="center"/>
                  <w:hideMark/>
                </w:tcPr>
                <w:p w14:paraId="40F2397A"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25%</w:t>
                  </w:r>
                </w:p>
              </w:tc>
              <w:tc>
                <w:tcPr>
                  <w:tcW w:w="1134" w:type="dxa"/>
                  <w:tcBorders>
                    <w:top w:val="nil"/>
                    <w:left w:val="nil"/>
                    <w:bottom w:val="single" w:sz="4" w:space="0" w:color="auto"/>
                    <w:right w:val="single" w:sz="4" w:space="0" w:color="auto"/>
                  </w:tcBorders>
                  <w:shd w:val="clear" w:color="auto" w:fill="auto"/>
                  <w:noWrap/>
                  <w:vAlign w:val="center"/>
                  <w:hideMark/>
                </w:tcPr>
                <w:p w14:paraId="2793C2C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25%</w:t>
                  </w:r>
                </w:p>
              </w:tc>
            </w:tr>
            <w:tr w:rsidR="00394B38" w:rsidRPr="00394B38" w14:paraId="6E087A62"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8883ECE"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19</w:t>
                  </w:r>
                </w:p>
              </w:tc>
              <w:tc>
                <w:tcPr>
                  <w:tcW w:w="2397" w:type="dxa"/>
                  <w:tcBorders>
                    <w:top w:val="nil"/>
                    <w:left w:val="nil"/>
                    <w:bottom w:val="single" w:sz="4" w:space="0" w:color="auto"/>
                    <w:right w:val="single" w:sz="4" w:space="0" w:color="auto"/>
                  </w:tcBorders>
                  <w:shd w:val="clear" w:color="000000" w:fill="FFFFFF"/>
                  <w:vAlign w:val="center"/>
                  <w:hideMark/>
                </w:tcPr>
                <w:p w14:paraId="5DDE403F"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Marja de profit, %</w:t>
                  </w:r>
                </w:p>
              </w:tc>
              <w:tc>
                <w:tcPr>
                  <w:tcW w:w="961" w:type="dxa"/>
                  <w:tcBorders>
                    <w:top w:val="nil"/>
                    <w:left w:val="nil"/>
                    <w:bottom w:val="single" w:sz="4" w:space="0" w:color="auto"/>
                    <w:right w:val="single" w:sz="4" w:space="0" w:color="auto"/>
                  </w:tcBorders>
                  <w:shd w:val="clear" w:color="000000" w:fill="FFFFFF"/>
                  <w:vAlign w:val="center"/>
                </w:tcPr>
                <w:p w14:paraId="3253A1CE"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Profit</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32B6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auto" w:fill="auto"/>
                  <w:noWrap/>
                  <w:vAlign w:val="center"/>
                  <w:hideMark/>
                </w:tcPr>
                <w:p w14:paraId="5655313C"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w:t>
                  </w:r>
                </w:p>
              </w:tc>
              <w:tc>
                <w:tcPr>
                  <w:tcW w:w="1211" w:type="dxa"/>
                  <w:tcBorders>
                    <w:top w:val="nil"/>
                    <w:left w:val="nil"/>
                    <w:bottom w:val="single" w:sz="4" w:space="0" w:color="auto"/>
                    <w:right w:val="single" w:sz="4" w:space="0" w:color="auto"/>
                  </w:tcBorders>
                  <w:shd w:val="clear" w:color="auto" w:fill="auto"/>
                  <w:noWrap/>
                  <w:vAlign w:val="center"/>
                  <w:hideMark/>
                </w:tcPr>
                <w:p w14:paraId="1D4EBFB0"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w:t>
                  </w:r>
                </w:p>
              </w:tc>
              <w:tc>
                <w:tcPr>
                  <w:tcW w:w="1134" w:type="dxa"/>
                  <w:tcBorders>
                    <w:top w:val="nil"/>
                    <w:left w:val="nil"/>
                    <w:bottom w:val="single" w:sz="4" w:space="0" w:color="auto"/>
                    <w:right w:val="single" w:sz="4" w:space="0" w:color="auto"/>
                  </w:tcBorders>
                  <w:shd w:val="clear" w:color="auto" w:fill="auto"/>
                  <w:noWrap/>
                  <w:vAlign w:val="center"/>
                  <w:hideMark/>
                </w:tcPr>
                <w:p w14:paraId="711C843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5%</w:t>
                  </w:r>
                </w:p>
              </w:tc>
            </w:tr>
            <w:tr w:rsidR="00394B38" w:rsidRPr="00394B38" w14:paraId="29DC781D" w14:textId="77777777" w:rsidTr="00760963">
              <w:trPr>
                <w:trHeight w:val="3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64BE422"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20</w:t>
                  </w:r>
                </w:p>
              </w:tc>
              <w:tc>
                <w:tcPr>
                  <w:tcW w:w="2397" w:type="dxa"/>
                  <w:tcBorders>
                    <w:top w:val="nil"/>
                    <w:left w:val="nil"/>
                    <w:bottom w:val="single" w:sz="4" w:space="0" w:color="auto"/>
                    <w:right w:val="single" w:sz="4" w:space="0" w:color="auto"/>
                  </w:tcBorders>
                  <w:shd w:val="clear" w:color="000000" w:fill="FFFFFF"/>
                  <w:vAlign w:val="center"/>
                  <w:hideMark/>
                </w:tcPr>
                <w:p w14:paraId="387BC0CC"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Cota factorului de încărcare</w:t>
                  </w:r>
                </w:p>
              </w:tc>
              <w:tc>
                <w:tcPr>
                  <w:tcW w:w="961" w:type="dxa"/>
                  <w:tcBorders>
                    <w:top w:val="nil"/>
                    <w:left w:val="nil"/>
                    <w:bottom w:val="single" w:sz="4" w:space="0" w:color="auto"/>
                    <w:right w:val="single" w:sz="4" w:space="0" w:color="auto"/>
                  </w:tcBorders>
                  <w:shd w:val="clear" w:color="000000" w:fill="FFFFFF"/>
                  <w:vAlign w:val="center"/>
                </w:tcPr>
                <w:p w14:paraId="7EA020C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f</w:t>
                  </w:r>
                </w:p>
              </w:tc>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68E3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w:t>
                  </w:r>
                </w:p>
              </w:tc>
              <w:tc>
                <w:tcPr>
                  <w:tcW w:w="1276" w:type="dxa"/>
                  <w:tcBorders>
                    <w:top w:val="nil"/>
                    <w:left w:val="nil"/>
                    <w:bottom w:val="single" w:sz="4" w:space="0" w:color="auto"/>
                    <w:right w:val="single" w:sz="4" w:space="0" w:color="auto"/>
                  </w:tcBorders>
                  <w:shd w:val="clear" w:color="auto" w:fill="auto"/>
                  <w:noWrap/>
                  <w:vAlign w:val="center"/>
                  <w:hideMark/>
                </w:tcPr>
                <w:p w14:paraId="5C5AD408"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c>
                <w:tcPr>
                  <w:tcW w:w="1211" w:type="dxa"/>
                  <w:tcBorders>
                    <w:top w:val="nil"/>
                    <w:left w:val="nil"/>
                    <w:bottom w:val="single" w:sz="4" w:space="0" w:color="auto"/>
                    <w:right w:val="single" w:sz="4" w:space="0" w:color="auto"/>
                  </w:tcBorders>
                  <w:shd w:val="clear" w:color="auto" w:fill="auto"/>
                  <w:noWrap/>
                  <w:vAlign w:val="center"/>
                  <w:hideMark/>
                </w:tcPr>
                <w:p w14:paraId="23852102"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c>
                <w:tcPr>
                  <w:tcW w:w="1134" w:type="dxa"/>
                  <w:tcBorders>
                    <w:top w:val="nil"/>
                    <w:left w:val="nil"/>
                    <w:bottom w:val="single" w:sz="4" w:space="0" w:color="auto"/>
                    <w:right w:val="single" w:sz="4" w:space="0" w:color="auto"/>
                  </w:tcBorders>
                  <w:shd w:val="clear" w:color="auto" w:fill="auto"/>
                  <w:noWrap/>
                  <w:vAlign w:val="center"/>
                  <w:hideMark/>
                </w:tcPr>
                <w:p w14:paraId="455004FF"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30%</w:t>
                  </w:r>
                </w:p>
              </w:tc>
            </w:tr>
            <w:tr w:rsidR="00394B38" w:rsidRPr="00394B38" w14:paraId="191963E6" w14:textId="77777777" w:rsidTr="00760963">
              <w:trPr>
                <w:trHeight w:val="375"/>
              </w:trPr>
              <w:tc>
                <w:tcPr>
                  <w:tcW w:w="609" w:type="dxa"/>
                  <w:tcBorders>
                    <w:top w:val="nil"/>
                    <w:left w:val="single" w:sz="4" w:space="0" w:color="auto"/>
                    <w:bottom w:val="single" w:sz="4" w:space="0" w:color="auto"/>
                    <w:right w:val="single" w:sz="4" w:space="0" w:color="auto"/>
                  </w:tcBorders>
                  <w:shd w:val="clear" w:color="000000" w:fill="FFF2CC"/>
                  <w:noWrap/>
                  <w:vAlign w:val="center"/>
                  <w:hideMark/>
                </w:tcPr>
                <w:p w14:paraId="09F8C356" w14:textId="77777777" w:rsidR="00760963" w:rsidRPr="00394B38" w:rsidRDefault="00760963" w:rsidP="00E80124">
                  <w:pPr>
                    <w:rPr>
                      <w:rFonts w:eastAsiaTheme="minorHAnsi"/>
                      <w:sz w:val="20"/>
                      <w:szCs w:val="20"/>
                      <w:lang w:val="ro-MD"/>
                    </w:rPr>
                  </w:pPr>
                  <w:r w:rsidRPr="00394B38">
                    <w:rPr>
                      <w:rFonts w:eastAsiaTheme="minorHAnsi"/>
                      <w:sz w:val="20"/>
                      <w:szCs w:val="20"/>
                      <w:lang w:val="ro-MD"/>
                    </w:rPr>
                    <w:t>21</w:t>
                  </w:r>
                </w:p>
              </w:tc>
              <w:tc>
                <w:tcPr>
                  <w:tcW w:w="2397" w:type="dxa"/>
                  <w:tcBorders>
                    <w:top w:val="nil"/>
                    <w:left w:val="nil"/>
                    <w:bottom w:val="single" w:sz="4" w:space="0" w:color="auto"/>
                    <w:right w:val="single" w:sz="4" w:space="0" w:color="auto"/>
                  </w:tcBorders>
                  <w:shd w:val="clear" w:color="000000" w:fill="FFF2CC"/>
                  <w:vAlign w:val="center"/>
                  <w:hideMark/>
                </w:tcPr>
                <w:p w14:paraId="276A62B5" w14:textId="0FEBD47A" w:rsidR="00760963" w:rsidRPr="00394B38" w:rsidRDefault="00760963">
                  <w:pPr>
                    <w:rPr>
                      <w:rFonts w:eastAsiaTheme="minorHAnsi"/>
                      <w:sz w:val="20"/>
                      <w:szCs w:val="20"/>
                      <w:lang w:val="ro-MD"/>
                    </w:rPr>
                  </w:pPr>
                  <w:r w:rsidRPr="00394B38">
                    <w:rPr>
                      <w:rFonts w:eastAsiaTheme="minorHAnsi"/>
                      <w:sz w:val="20"/>
                      <w:szCs w:val="20"/>
                      <w:lang w:val="ro-MD"/>
                    </w:rPr>
                    <w:t>Prima de asigurare de bază aferent</w:t>
                  </w:r>
                  <w:r w:rsidR="00A32609">
                    <w:rPr>
                      <w:rFonts w:eastAsiaTheme="minorHAnsi"/>
                      <w:sz w:val="20"/>
                      <w:szCs w:val="20"/>
                      <w:lang w:val="ro-MD"/>
                    </w:rPr>
                    <w:t>ă</w:t>
                  </w:r>
                  <w:r w:rsidRPr="00394B38">
                    <w:rPr>
                      <w:rFonts w:eastAsiaTheme="minorHAnsi"/>
                      <w:sz w:val="20"/>
                      <w:szCs w:val="20"/>
                      <w:lang w:val="ro-MD"/>
                    </w:rPr>
                    <w:t xml:space="preserve"> tarifului de referinț</w:t>
                  </w:r>
                  <w:r w:rsidR="00A32609">
                    <w:rPr>
                      <w:rFonts w:eastAsiaTheme="minorHAnsi"/>
                      <w:sz w:val="20"/>
                      <w:szCs w:val="20"/>
                      <w:lang w:val="ro-MD"/>
                    </w:rPr>
                    <w:t>ă</w:t>
                  </w:r>
                  <w:r w:rsidRPr="00394B38">
                    <w:rPr>
                      <w:rFonts w:eastAsiaTheme="minorHAnsi"/>
                      <w:sz w:val="20"/>
                      <w:szCs w:val="20"/>
                      <w:lang w:val="ro-MD"/>
                    </w:rPr>
                    <w:t xml:space="preserve"> </w:t>
                  </w:r>
                </w:p>
              </w:tc>
              <w:tc>
                <w:tcPr>
                  <w:tcW w:w="961" w:type="dxa"/>
                  <w:tcBorders>
                    <w:top w:val="nil"/>
                    <w:left w:val="nil"/>
                    <w:bottom w:val="single" w:sz="4" w:space="0" w:color="auto"/>
                    <w:right w:val="single" w:sz="4" w:space="0" w:color="auto"/>
                  </w:tcBorders>
                  <w:shd w:val="clear" w:color="000000" w:fill="FFF2CC"/>
                </w:tcPr>
                <w:p w14:paraId="37597087" w14:textId="77777777" w:rsidR="00760963" w:rsidRPr="00394B38" w:rsidRDefault="00760963" w:rsidP="00E80124">
                  <w:pPr>
                    <w:jc w:val="center"/>
                    <w:rPr>
                      <w:rFonts w:eastAsiaTheme="minorHAnsi"/>
                      <w:sz w:val="20"/>
                      <w:szCs w:val="20"/>
                      <w:lang w:val="ro-MD"/>
                    </w:rPr>
                  </w:pPr>
                </w:p>
                <w:p w14:paraId="7D3EBC69"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Pb</w:t>
                  </w:r>
                </w:p>
              </w:tc>
              <w:tc>
                <w:tcPr>
                  <w:tcW w:w="1098" w:type="dxa"/>
                  <w:tcBorders>
                    <w:top w:val="single" w:sz="4" w:space="0" w:color="auto"/>
                    <w:left w:val="single" w:sz="4" w:space="0" w:color="auto"/>
                    <w:bottom w:val="single" w:sz="4" w:space="0" w:color="auto"/>
                    <w:right w:val="single" w:sz="4" w:space="0" w:color="auto"/>
                  </w:tcBorders>
                  <w:shd w:val="clear" w:color="000000" w:fill="FFF2CC"/>
                  <w:noWrap/>
                  <w:vAlign w:val="center"/>
                </w:tcPr>
                <w:p w14:paraId="6ACF1263"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EUR</w:t>
                  </w:r>
                </w:p>
              </w:tc>
              <w:tc>
                <w:tcPr>
                  <w:tcW w:w="1276" w:type="dxa"/>
                  <w:tcBorders>
                    <w:top w:val="nil"/>
                    <w:left w:val="nil"/>
                    <w:bottom w:val="single" w:sz="4" w:space="0" w:color="auto"/>
                    <w:right w:val="single" w:sz="4" w:space="0" w:color="auto"/>
                  </w:tcBorders>
                  <w:shd w:val="clear" w:color="000000" w:fill="FFF2CC"/>
                  <w:noWrap/>
                  <w:vAlign w:val="center"/>
                  <w:hideMark/>
                </w:tcPr>
                <w:p w14:paraId="25013EC0" w14:textId="373AB4EC" w:rsidR="00760963" w:rsidRPr="00394B38" w:rsidRDefault="00852FA6" w:rsidP="00E80124">
                  <w:pPr>
                    <w:jc w:val="center"/>
                    <w:rPr>
                      <w:rFonts w:eastAsiaTheme="minorHAnsi"/>
                      <w:sz w:val="20"/>
                      <w:szCs w:val="20"/>
                      <w:lang w:val="ro-MD"/>
                    </w:rPr>
                  </w:pPr>
                  <w:r w:rsidRPr="00394B38">
                    <w:rPr>
                      <w:rFonts w:eastAsiaTheme="minorHAnsi"/>
                      <w:sz w:val="20"/>
                      <w:szCs w:val="20"/>
                      <w:lang w:val="ro-MD"/>
                    </w:rPr>
                    <w:t>19,58</w:t>
                  </w:r>
                </w:p>
              </w:tc>
              <w:tc>
                <w:tcPr>
                  <w:tcW w:w="1211" w:type="dxa"/>
                  <w:tcBorders>
                    <w:top w:val="nil"/>
                    <w:left w:val="nil"/>
                    <w:bottom w:val="single" w:sz="4" w:space="0" w:color="auto"/>
                    <w:right w:val="single" w:sz="4" w:space="0" w:color="auto"/>
                  </w:tcBorders>
                  <w:shd w:val="clear" w:color="000000" w:fill="FFF2CC"/>
                  <w:noWrap/>
                  <w:vAlign w:val="center"/>
                  <w:hideMark/>
                </w:tcPr>
                <w:p w14:paraId="3BD11D0C" w14:textId="21DC9A32"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38</w:t>
                  </w:r>
                  <w:r w:rsidR="00852FA6" w:rsidRPr="00394B38">
                    <w:rPr>
                      <w:rFonts w:eastAsiaTheme="minorHAnsi"/>
                      <w:sz w:val="20"/>
                      <w:szCs w:val="20"/>
                      <w:lang w:val="ro-MD"/>
                    </w:rPr>
                    <w:t>5,94</w:t>
                  </w:r>
                </w:p>
              </w:tc>
              <w:tc>
                <w:tcPr>
                  <w:tcW w:w="1134" w:type="dxa"/>
                  <w:tcBorders>
                    <w:top w:val="nil"/>
                    <w:left w:val="nil"/>
                    <w:bottom w:val="single" w:sz="4" w:space="0" w:color="auto"/>
                    <w:right w:val="single" w:sz="4" w:space="0" w:color="auto"/>
                  </w:tcBorders>
                  <w:shd w:val="clear" w:color="000000" w:fill="FFF2CC"/>
                  <w:noWrap/>
                  <w:vAlign w:val="center"/>
                  <w:hideMark/>
                </w:tcPr>
                <w:p w14:paraId="60543245" w14:textId="77777777" w:rsidR="00760963" w:rsidRPr="00394B38" w:rsidRDefault="00760963" w:rsidP="00E80124">
                  <w:pPr>
                    <w:jc w:val="center"/>
                    <w:rPr>
                      <w:rFonts w:eastAsiaTheme="minorHAnsi"/>
                      <w:sz w:val="20"/>
                      <w:szCs w:val="20"/>
                      <w:lang w:val="ro-MD"/>
                    </w:rPr>
                  </w:pPr>
                  <w:r w:rsidRPr="00394B38">
                    <w:rPr>
                      <w:rFonts w:eastAsiaTheme="minorHAnsi"/>
                      <w:sz w:val="20"/>
                      <w:szCs w:val="20"/>
                      <w:lang w:val="ro-MD"/>
                    </w:rPr>
                    <w:t>344,0</w:t>
                  </w:r>
                </w:p>
              </w:tc>
            </w:tr>
          </w:tbl>
          <w:p w14:paraId="674CA52F" w14:textId="77777777" w:rsidR="00852FA6" w:rsidRPr="00394B38" w:rsidRDefault="00852FA6" w:rsidP="00E80124">
            <w:pPr>
              <w:jc w:val="both"/>
              <w:rPr>
                <w:rFonts w:eastAsiaTheme="minorHAnsi"/>
                <w:sz w:val="28"/>
                <w:szCs w:val="28"/>
                <w:lang w:val="ro-MD"/>
              </w:rPr>
            </w:pPr>
          </w:p>
          <w:p w14:paraId="2B60341C" w14:textId="058045CF" w:rsidR="00760963" w:rsidRPr="00394B38" w:rsidRDefault="00760963" w:rsidP="00E80124">
            <w:pPr>
              <w:jc w:val="both"/>
              <w:rPr>
                <w:rFonts w:eastAsiaTheme="minorHAnsi"/>
                <w:sz w:val="28"/>
                <w:szCs w:val="28"/>
                <w:lang w:val="ro-MD"/>
              </w:rPr>
            </w:pPr>
            <w:r w:rsidRPr="00394B38">
              <w:rPr>
                <w:rFonts w:eastAsiaTheme="minorHAnsi"/>
                <w:sz w:val="28"/>
                <w:szCs w:val="28"/>
                <w:lang w:val="ro-MD"/>
              </w:rPr>
              <w:t>Leg</w:t>
            </w:r>
            <w:r w:rsidR="00A32609">
              <w:rPr>
                <w:rFonts w:eastAsiaTheme="minorHAnsi"/>
                <w:sz w:val="28"/>
                <w:szCs w:val="28"/>
                <w:lang w:val="ro-MD"/>
              </w:rPr>
              <w:t>ea</w:t>
            </w:r>
            <w:r w:rsidRPr="00394B38">
              <w:rPr>
                <w:rFonts w:eastAsiaTheme="minorHAnsi"/>
                <w:sz w:val="28"/>
                <w:szCs w:val="28"/>
                <w:lang w:val="ro-MD"/>
              </w:rPr>
              <w:t xml:space="preserve"> nr. 106/2022</w:t>
            </w:r>
            <w:r w:rsidR="00890CC3" w:rsidRPr="00394B38">
              <w:rPr>
                <w:rFonts w:eastAsiaTheme="minorHAnsi"/>
                <w:sz w:val="28"/>
                <w:szCs w:val="28"/>
                <w:lang w:val="ro-MD"/>
              </w:rPr>
              <w:t xml:space="preserve"> </w:t>
            </w:r>
            <w:r w:rsidR="00911236" w:rsidRPr="00394B38">
              <w:rPr>
                <w:rFonts w:eastAsiaTheme="minorHAnsi"/>
                <w:sz w:val="28"/>
                <w:szCs w:val="28"/>
                <w:lang w:val="ro-MD"/>
              </w:rPr>
              <w:t xml:space="preserve">statuează </w:t>
            </w:r>
            <w:r w:rsidRPr="00394B38">
              <w:rPr>
                <w:rFonts w:eastAsiaTheme="minorHAnsi"/>
                <w:sz w:val="28"/>
                <w:szCs w:val="28"/>
                <w:lang w:val="ro-MD"/>
              </w:rPr>
              <w:t xml:space="preserve">că </w:t>
            </w:r>
            <w:r w:rsidRPr="00394B38">
              <w:rPr>
                <w:rFonts w:eastAsiaTheme="minorHAnsi"/>
                <w:i/>
                <w:sz w:val="28"/>
                <w:szCs w:val="28"/>
                <w:lang w:val="ro-MD"/>
              </w:rPr>
              <w:t xml:space="preserve">prima de referință este primă de asigurare indicativă, calculată de către Banca Națională a Moldovei în baza datelor statistice la nivelul pieței de asigurări obligatorii RCA interne și externe, iar </w:t>
            </w:r>
            <w:r w:rsidRPr="00394B38">
              <w:rPr>
                <w:rFonts w:eastAsiaTheme="minorHAnsi"/>
                <w:sz w:val="28"/>
                <w:szCs w:val="28"/>
                <w:lang w:val="ro-MD"/>
              </w:rPr>
              <w:t xml:space="preserve">primele de asigurare calculate de către societățile de asigurare potrivit propriilor calcule interne </w:t>
            </w:r>
            <w:r w:rsidRPr="00394B38">
              <w:rPr>
                <w:rFonts w:eastAsiaTheme="minorHAnsi"/>
                <w:i/>
                <w:iCs/>
                <w:sz w:val="28"/>
                <w:szCs w:val="28"/>
                <w:lang w:val="ro-MD"/>
              </w:rPr>
              <w:t>nu pot fi mai mici decât primele de referință</w:t>
            </w:r>
            <w:r w:rsidRPr="00394B38">
              <w:rPr>
                <w:rFonts w:eastAsiaTheme="minorHAnsi"/>
                <w:sz w:val="28"/>
                <w:szCs w:val="28"/>
                <w:lang w:val="ro-MD"/>
              </w:rPr>
              <w:t xml:space="preserve">. </w:t>
            </w:r>
          </w:p>
          <w:p w14:paraId="24BBE872" w14:textId="2502CB40" w:rsidR="00760963" w:rsidRPr="00394B38" w:rsidRDefault="00760963" w:rsidP="00E80124">
            <w:pPr>
              <w:jc w:val="both"/>
              <w:rPr>
                <w:rFonts w:eastAsiaTheme="minorHAnsi"/>
                <w:i/>
                <w:sz w:val="28"/>
                <w:szCs w:val="28"/>
                <w:lang w:val="ro-MD"/>
              </w:rPr>
            </w:pPr>
            <w:r w:rsidRPr="00394B38">
              <w:rPr>
                <w:rFonts w:eastAsiaTheme="minorHAnsi"/>
                <w:sz w:val="28"/>
                <w:szCs w:val="28"/>
                <w:lang w:val="ro-MD"/>
              </w:rPr>
              <w:t xml:space="preserve">Subsidiar, art. 12 alin. (1) din Legea nr. 106/2022 </w:t>
            </w:r>
            <w:r w:rsidR="00A32609">
              <w:rPr>
                <w:rFonts w:eastAsiaTheme="minorHAnsi"/>
                <w:sz w:val="28"/>
                <w:szCs w:val="28"/>
                <w:lang w:val="ro-MD"/>
              </w:rPr>
              <w:t xml:space="preserve">prevede </w:t>
            </w:r>
            <w:r w:rsidRPr="00394B38">
              <w:rPr>
                <w:rFonts w:eastAsiaTheme="minorHAnsi"/>
                <w:sz w:val="28"/>
                <w:szCs w:val="28"/>
                <w:lang w:val="ro-MD"/>
              </w:rPr>
              <w:t xml:space="preserve">că, </w:t>
            </w:r>
            <w:r w:rsidRPr="00394B38">
              <w:rPr>
                <w:rFonts w:eastAsiaTheme="minorHAnsi"/>
                <w:i/>
                <w:sz w:val="28"/>
                <w:szCs w:val="28"/>
                <w:lang w:val="ro-MD"/>
              </w:rPr>
              <w:t>asigurătorul calculează prima de asigurare astfel încât să se acopere toate obligațiile ce decurg din contractul de asigurare obligatorie RCA.</w:t>
            </w:r>
          </w:p>
          <w:p w14:paraId="57D121D3" w14:textId="57A3E863" w:rsidR="00760963" w:rsidRPr="00394B38" w:rsidRDefault="00760963" w:rsidP="00E80124">
            <w:pPr>
              <w:jc w:val="both"/>
              <w:rPr>
                <w:rFonts w:eastAsiaTheme="minorHAnsi"/>
                <w:sz w:val="28"/>
                <w:szCs w:val="28"/>
                <w:lang w:val="ro-MD"/>
              </w:rPr>
            </w:pPr>
            <w:r w:rsidRPr="00394B38">
              <w:rPr>
                <w:rFonts w:eastAsiaTheme="minorHAnsi"/>
                <w:sz w:val="28"/>
                <w:szCs w:val="28"/>
                <w:lang w:val="ro-MD"/>
              </w:rPr>
              <w:t xml:space="preserve">Potrivit </w:t>
            </w:r>
            <w:r w:rsidR="00922FBB" w:rsidRPr="00394B38">
              <w:rPr>
                <w:rFonts w:eastAsiaTheme="minorHAnsi"/>
                <w:sz w:val="28"/>
                <w:szCs w:val="28"/>
                <w:lang w:val="ro-MD"/>
              </w:rPr>
              <w:t xml:space="preserve">pct. 45 și pct. 46 din </w:t>
            </w:r>
            <w:r w:rsidRPr="00394B38">
              <w:rPr>
                <w:rFonts w:eastAsiaTheme="minorHAnsi"/>
                <w:sz w:val="28"/>
                <w:szCs w:val="28"/>
                <w:lang w:val="ro-MD"/>
              </w:rPr>
              <w:t xml:space="preserve">Metodologie în prima de referință la asigurarea obligatorie internă și externă, în factorul de încărcare se includ cheltuielile administrative suportate de către societățile de asigurări la subscrierea asigurărilor, cota cărora </w:t>
            </w:r>
            <w:r w:rsidR="00A32609">
              <w:rPr>
                <w:rFonts w:eastAsiaTheme="minorHAnsi"/>
                <w:sz w:val="28"/>
                <w:szCs w:val="28"/>
                <w:lang w:val="ro-MD"/>
              </w:rPr>
              <w:t xml:space="preserve">este </w:t>
            </w:r>
            <w:r w:rsidR="00911236" w:rsidRPr="00394B38">
              <w:rPr>
                <w:rFonts w:eastAsiaTheme="minorHAnsi"/>
                <w:sz w:val="28"/>
                <w:szCs w:val="28"/>
                <w:lang w:val="ro-MD"/>
              </w:rPr>
              <w:t>de la</w:t>
            </w:r>
            <w:r w:rsidRPr="00394B38">
              <w:rPr>
                <w:rFonts w:eastAsiaTheme="minorHAnsi"/>
                <w:sz w:val="28"/>
                <w:szCs w:val="28"/>
                <w:lang w:val="ro-MD"/>
              </w:rPr>
              <w:t xml:space="preserve"> 25% și marja de profit de la 5% la 10%.</w:t>
            </w:r>
          </w:p>
          <w:p w14:paraId="4437CC5E" w14:textId="49C280D7" w:rsidR="006E1F77" w:rsidRPr="00394B38" w:rsidRDefault="006E1F77" w:rsidP="00E80124">
            <w:pPr>
              <w:jc w:val="both"/>
              <w:rPr>
                <w:rFonts w:eastAsiaTheme="minorHAnsi"/>
                <w:sz w:val="28"/>
                <w:szCs w:val="28"/>
                <w:lang w:val="ro-MD"/>
              </w:rPr>
            </w:pPr>
            <w:r w:rsidRPr="00394B38">
              <w:rPr>
                <w:rFonts w:eastAsiaTheme="minorHAnsi"/>
                <w:sz w:val="28"/>
                <w:szCs w:val="28"/>
                <w:lang w:val="ro-MD"/>
              </w:rPr>
              <w:t>În această ordine de idei, la stabilirea factorului de încărcare privind cheltuielile administrative în prima de referință au fost incluse cotele minime a</w:t>
            </w:r>
            <w:r w:rsidR="00E47EF0">
              <w:rPr>
                <w:rFonts w:eastAsiaTheme="minorHAnsi"/>
                <w:sz w:val="28"/>
                <w:szCs w:val="28"/>
                <w:lang w:val="ro-MD"/>
              </w:rPr>
              <w:t>le</w:t>
            </w:r>
            <w:r w:rsidRPr="00394B38">
              <w:rPr>
                <w:rFonts w:eastAsiaTheme="minorHAnsi"/>
                <w:sz w:val="28"/>
                <w:szCs w:val="28"/>
                <w:lang w:val="ro-MD"/>
              </w:rPr>
              <w:t xml:space="preserve"> acestora în mărime de 25% și marja de profit de 5%, pentru a avea un nivel minim al primei de referință care va fi indicativă pentru societățile de asigurare. </w:t>
            </w:r>
          </w:p>
          <w:p w14:paraId="2412EFC7" w14:textId="4F22ADCA" w:rsidR="008B31BB" w:rsidRPr="00394B38" w:rsidRDefault="006E1F77" w:rsidP="00E80124">
            <w:pPr>
              <w:jc w:val="both"/>
              <w:rPr>
                <w:rFonts w:eastAsiaTheme="minorHAnsi"/>
                <w:b/>
                <w:bCs/>
                <w:sz w:val="28"/>
                <w:szCs w:val="28"/>
                <w:lang w:val="ro-MD"/>
              </w:rPr>
            </w:pPr>
            <w:r w:rsidRPr="00394B38">
              <w:rPr>
                <w:rFonts w:eastAsiaTheme="minorHAnsi"/>
                <w:sz w:val="28"/>
                <w:szCs w:val="28"/>
                <w:lang w:val="ro-MD"/>
              </w:rPr>
              <w:t>De menționat că</w:t>
            </w:r>
            <w:r w:rsidR="00E47EF0">
              <w:rPr>
                <w:rFonts w:eastAsiaTheme="minorHAnsi"/>
                <w:sz w:val="28"/>
                <w:szCs w:val="28"/>
                <w:lang w:val="ro-MD"/>
              </w:rPr>
              <w:t>,</w:t>
            </w:r>
            <w:r w:rsidRPr="00394B38">
              <w:rPr>
                <w:rFonts w:eastAsiaTheme="minorHAnsi"/>
                <w:sz w:val="28"/>
                <w:szCs w:val="28"/>
                <w:lang w:val="ro-MD"/>
              </w:rPr>
              <w:t xml:space="preserve"> </w:t>
            </w:r>
            <w:r w:rsidR="008B31BB" w:rsidRPr="00394B38">
              <w:rPr>
                <w:rFonts w:eastAsiaTheme="minorHAnsi"/>
                <w:sz w:val="28"/>
                <w:szCs w:val="28"/>
                <w:lang w:val="ro-MD"/>
              </w:rPr>
              <w:t>potrivit art. 12 alin. (5) din Legea nr. 106/2022, societățile de asigurare prezintă, spre examinare</w:t>
            </w:r>
            <w:r w:rsidR="00494728">
              <w:rPr>
                <w:rFonts w:eastAsiaTheme="minorHAnsi"/>
                <w:sz w:val="28"/>
                <w:szCs w:val="28"/>
                <w:lang w:val="ro-MD"/>
              </w:rPr>
              <w:t>,</w:t>
            </w:r>
            <w:r w:rsidR="008B31BB" w:rsidRPr="00394B38">
              <w:rPr>
                <w:rFonts w:eastAsiaTheme="minorHAnsi"/>
                <w:sz w:val="28"/>
                <w:szCs w:val="28"/>
                <w:lang w:val="ro-MD"/>
              </w:rPr>
              <w:t xml:space="preserve"> Băncii Naționale a Moldovei calculele primelor </w:t>
            </w:r>
            <w:r w:rsidR="008B31BB" w:rsidRPr="00394B38">
              <w:rPr>
                <w:rFonts w:eastAsiaTheme="minorHAnsi"/>
                <w:sz w:val="28"/>
                <w:szCs w:val="28"/>
                <w:lang w:val="ro-MD"/>
              </w:rPr>
              <w:lastRenderedPageBreak/>
              <w:t xml:space="preserve">de asigurare de bază și coeficienții de rectificare aferenți asigurării obligatorii RCA interne și externe, legalizate de către actuar, </w:t>
            </w:r>
            <w:r w:rsidR="00E47EF0">
              <w:rPr>
                <w:rFonts w:eastAsiaTheme="minorHAnsi"/>
                <w:sz w:val="28"/>
                <w:szCs w:val="28"/>
                <w:lang w:val="ro-MD"/>
              </w:rPr>
              <w:t xml:space="preserve">în vederea </w:t>
            </w:r>
            <w:r w:rsidR="008B31BB" w:rsidRPr="00394B38">
              <w:rPr>
                <w:rFonts w:eastAsiaTheme="minorHAnsi"/>
                <w:sz w:val="28"/>
                <w:szCs w:val="28"/>
                <w:lang w:val="ro-MD"/>
              </w:rPr>
              <w:t>asigur</w:t>
            </w:r>
            <w:r w:rsidR="00E47EF0">
              <w:rPr>
                <w:rFonts w:eastAsiaTheme="minorHAnsi"/>
                <w:sz w:val="28"/>
                <w:szCs w:val="28"/>
                <w:lang w:val="ro-MD"/>
              </w:rPr>
              <w:t>ării</w:t>
            </w:r>
            <w:r w:rsidR="008B31BB" w:rsidRPr="00394B38">
              <w:rPr>
                <w:rFonts w:eastAsiaTheme="minorHAnsi"/>
                <w:sz w:val="28"/>
                <w:szCs w:val="28"/>
                <w:lang w:val="ro-MD"/>
              </w:rPr>
              <w:t xml:space="preserve"> suficienței acestora pentru </w:t>
            </w:r>
            <w:r w:rsidR="008B31BB" w:rsidRPr="00394B38">
              <w:rPr>
                <w:rFonts w:eastAsiaTheme="minorHAnsi"/>
                <w:i/>
                <w:iCs/>
                <w:sz w:val="28"/>
                <w:szCs w:val="28"/>
                <w:lang w:val="ro-MD"/>
              </w:rPr>
              <w:t xml:space="preserve">acoperirea cel puțin a costurilor de soluționare a cererilor de despăgubire și </w:t>
            </w:r>
            <w:r w:rsidR="00E47EF0">
              <w:rPr>
                <w:rFonts w:eastAsiaTheme="minorHAnsi"/>
                <w:i/>
                <w:iCs/>
                <w:sz w:val="28"/>
                <w:szCs w:val="28"/>
                <w:lang w:val="ro-MD"/>
              </w:rPr>
              <w:t xml:space="preserve">a </w:t>
            </w:r>
            <w:r w:rsidR="008B31BB" w:rsidRPr="00394B38">
              <w:rPr>
                <w:rFonts w:eastAsiaTheme="minorHAnsi"/>
                <w:i/>
                <w:iCs/>
                <w:sz w:val="28"/>
                <w:szCs w:val="28"/>
                <w:lang w:val="ro-MD"/>
              </w:rPr>
              <w:t>cheltuielilor administrative</w:t>
            </w:r>
            <w:r w:rsidR="008B31BB" w:rsidRPr="00394B38">
              <w:rPr>
                <w:rFonts w:eastAsiaTheme="minorHAnsi"/>
                <w:sz w:val="28"/>
                <w:szCs w:val="28"/>
                <w:lang w:val="ro-MD"/>
              </w:rPr>
              <w:t>.</w:t>
            </w:r>
            <w:r w:rsidR="00890CC3" w:rsidRPr="00394B38">
              <w:rPr>
                <w:rFonts w:eastAsiaTheme="minorHAnsi"/>
                <w:sz w:val="28"/>
                <w:szCs w:val="28"/>
                <w:lang w:val="ro-MD"/>
              </w:rPr>
              <w:t xml:space="preserve"> </w:t>
            </w:r>
            <w:r w:rsidR="008B31BB" w:rsidRPr="00394B38">
              <w:rPr>
                <w:rFonts w:eastAsiaTheme="minorHAnsi"/>
                <w:sz w:val="28"/>
                <w:szCs w:val="28"/>
                <w:lang w:val="ro-MD"/>
              </w:rPr>
              <w:t xml:space="preserve">Corespunzător speței, este necesar de specificat că </w:t>
            </w:r>
            <w:r w:rsidR="00890CC3" w:rsidRPr="00394B38">
              <w:rPr>
                <w:rFonts w:eastAsiaTheme="minorHAnsi"/>
                <w:sz w:val="28"/>
                <w:szCs w:val="28"/>
                <w:lang w:val="ro-MD"/>
              </w:rPr>
              <w:t xml:space="preserve">în corespundere cu art. 12 alin. (12) din legea prenotată, BNM are autoritatea de a respinge calculul actuarial al primei de asigurare de bază și al coeficienților de rectificare dacă </w:t>
            </w:r>
            <w:r w:rsidR="00890CC3" w:rsidRPr="00394B38">
              <w:rPr>
                <w:rFonts w:eastAsiaTheme="minorHAnsi"/>
                <w:i/>
                <w:iCs/>
                <w:sz w:val="28"/>
                <w:szCs w:val="28"/>
                <w:lang w:val="ro-MD"/>
              </w:rPr>
              <w:t>primele de asigurare sunt mai mici decât primele de referință</w:t>
            </w:r>
            <w:r w:rsidR="00890CC3" w:rsidRPr="00394B38">
              <w:rPr>
                <w:rFonts w:eastAsiaTheme="minorHAnsi"/>
                <w:sz w:val="28"/>
                <w:szCs w:val="28"/>
                <w:lang w:val="ro-MD"/>
              </w:rPr>
              <w:t>.</w:t>
            </w:r>
          </w:p>
          <w:p w14:paraId="4C2394CE" w14:textId="0071F9B9" w:rsidR="00016F1B" w:rsidRPr="00394B38" w:rsidRDefault="00EF4C1D" w:rsidP="00E80124">
            <w:pPr>
              <w:pStyle w:val="ListParagraph"/>
              <w:ind w:left="0"/>
              <w:jc w:val="both"/>
              <w:rPr>
                <w:sz w:val="28"/>
                <w:szCs w:val="28"/>
                <w:highlight w:val="yellow"/>
                <w:lang w:val="ro-MD"/>
              </w:rPr>
            </w:pPr>
            <w:r w:rsidRPr="00394B38">
              <w:rPr>
                <w:sz w:val="28"/>
                <w:szCs w:val="28"/>
                <w:lang w:val="ro-MD"/>
              </w:rPr>
              <w:t xml:space="preserve">Cota factorului de încărcare ca efect al aplicării sistemului bonus-malus în cazul asigurării RCA internă a fost stabilită în baza numărului de polițe de asigurare subscrise în anul 2022, iar conform calculelor </w:t>
            </w:r>
            <w:r w:rsidR="00E47EF0">
              <w:rPr>
                <w:sz w:val="28"/>
                <w:szCs w:val="28"/>
                <w:lang w:val="ro-MD"/>
              </w:rPr>
              <w:t xml:space="preserve">a fost </w:t>
            </w:r>
            <w:r w:rsidRPr="00394B38">
              <w:rPr>
                <w:sz w:val="28"/>
                <w:szCs w:val="28"/>
                <w:lang w:val="ro-MD"/>
              </w:rPr>
              <w:t xml:space="preserve">determinat cuantumul </w:t>
            </w:r>
            <w:r w:rsidRPr="00770C11">
              <w:rPr>
                <w:sz w:val="28"/>
                <w:szCs w:val="28"/>
                <w:lang w:val="ro-MD"/>
              </w:rPr>
              <w:t>acestuia</w:t>
            </w:r>
            <w:r w:rsidRPr="00394B38">
              <w:rPr>
                <w:sz w:val="28"/>
                <w:szCs w:val="28"/>
                <w:lang w:val="ro-MD"/>
              </w:rPr>
              <w:t xml:space="preserve"> de 32,47%.  </w:t>
            </w:r>
          </w:p>
          <w:p w14:paraId="7057E156" w14:textId="2F85F1CB" w:rsidR="00760963" w:rsidRPr="00394B38" w:rsidRDefault="00EF4C1D" w:rsidP="00E80124">
            <w:pPr>
              <w:pStyle w:val="ListParagraph"/>
              <w:ind w:left="0"/>
              <w:jc w:val="both"/>
              <w:rPr>
                <w:sz w:val="28"/>
                <w:szCs w:val="28"/>
                <w:highlight w:val="yellow"/>
                <w:lang w:val="ro-MD"/>
              </w:rPr>
            </w:pPr>
            <w:r w:rsidRPr="00394B38">
              <w:rPr>
                <w:sz w:val="28"/>
                <w:szCs w:val="28"/>
                <w:lang w:val="ro-MD"/>
              </w:rPr>
              <w:t xml:space="preserve">Conform calculelor efectuate potrivit Metodologiei în baza datelor statistice aferente perioadei 2018-2022, prima de bază pentru asigurarea obligatorie RCA internă a constituit 1 272 lei și pentru asigurarea obligatorie RCA externă Zona 1 – </w:t>
            </w:r>
            <w:r w:rsidR="00852FA6" w:rsidRPr="00394B38">
              <w:rPr>
                <w:sz w:val="28"/>
                <w:szCs w:val="28"/>
                <w:lang w:val="ro-MD"/>
              </w:rPr>
              <w:t>19,6</w:t>
            </w:r>
            <w:r w:rsidRPr="00394B38">
              <w:rPr>
                <w:sz w:val="28"/>
                <w:szCs w:val="28"/>
                <w:lang w:val="ro-MD"/>
              </w:rPr>
              <w:t xml:space="preserve"> euro, Zona 2 – 38</w:t>
            </w:r>
            <w:r w:rsidR="00852FA6" w:rsidRPr="00394B38">
              <w:rPr>
                <w:sz w:val="28"/>
                <w:szCs w:val="28"/>
                <w:lang w:val="ro-MD"/>
              </w:rPr>
              <w:t>5,9</w:t>
            </w:r>
            <w:r w:rsidRPr="00394B38">
              <w:rPr>
                <w:sz w:val="28"/>
                <w:szCs w:val="28"/>
                <w:lang w:val="ro-MD"/>
              </w:rPr>
              <w:t xml:space="preserve"> euro și Zona 3 – 344</w:t>
            </w:r>
            <w:r w:rsidR="00852FA6" w:rsidRPr="00394B38">
              <w:rPr>
                <w:sz w:val="28"/>
                <w:szCs w:val="28"/>
                <w:lang w:val="ro-MD"/>
              </w:rPr>
              <w:t>,0</w:t>
            </w:r>
            <w:r w:rsidRPr="00394B38">
              <w:rPr>
                <w:sz w:val="28"/>
                <w:szCs w:val="28"/>
                <w:lang w:val="ro-MD"/>
              </w:rPr>
              <w:t xml:space="preserve"> euro.  </w:t>
            </w:r>
          </w:p>
          <w:p w14:paraId="3CA81160" w14:textId="10EEB017" w:rsidR="00760963" w:rsidRPr="00394B38" w:rsidRDefault="00EF4C1D" w:rsidP="00E80124">
            <w:pPr>
              <w:pStyle w:val="ListParagraph"/>
              <w:ind w:left="0"/>
              <w:jc w:val="both"/>
              <w:rPr>
                <w:sz w:val="28"/>
                <w:szCs w:val="28"/>
                <w:lang w:val="ro-MD"/>
              </w:rPr>
            </w:pPr>
            <w:r w:rsidRPr="00394B38">
              <w:rPr>
                <w:sz w:val="28"/>
                <w:szCs w:val="28"/>
                <w:lang w:val="ro-MD"/>
              </w:rPr>
              <w:t>Cuantumul riscurilor în funcție de factorii aferenți coeficienților de rectificare (K</w:t>
            </w:r>
            <w:r w:rsidRPr="009B5AD6">
              <w:rPr>
                <w:sz w:val="28"/>
                <w:szCs w:val="28"/>
                <w:vertAlign w:val="subscript"/>
                <w:lang w:val="ro-MD"/>
              </w:rPr>
              <w:t>1</w:t>
            </w:r>
            <w:r w:rsidRPr="00394B38">
              <w:rPr>
                <w:sz w:val="28"/>
                <w:szCs w:val="28"/>
                <w:lang w:val="ro-MD"/>
              </w:rPr>
              <w:t>-K</w:t>
            </w:r>
            <w:r w:rsidRPr="009B5AD6">
              <w:rPr>
                <w:sz w:val="28"/>
                <w:szCs w:val="28"/>
                <w:vertAlign w:val="subscript"/>
                <w:lang w:val="ro-MD"/>
              </w:rPr>
              <w:t>4</w:t>
            </w:r>
            <w:r w:rsidRPr="00394B38">
              <w:rPr>
                <w:sz w:val="28"/>
                <w:szCs w:val="28"/>
                <w:lang w:val="ro-MD"/>
              </w:rPr>
              <w:t>) a fost estimat în baza datelor statistice.</w:t>
            </w:r>
          </w:p>
          <w:p w14:paraId="6A6183DA" w14:textId="77777777" w:rsidR="007E6B40" w:rsidRPr="00394B38" w:rsidRDefault="007E6B40" w:rsidP="00E80124">
            <w:pPr>
              <w:pStyle w:val="ListParagraph"/>
              <w:ind w:left="0"/>
              <w:jc w:val="both"/>
              <w:rPr>
                <w:sz w:val="28"/>
                <w:szCs w:val="28"/>
                <w:lang w:val="ro-MD"/>
              </w:rPr>
            </w:pPr>
          </w:p>
          <w:p w14:paraId="77BB0AD8" w14:textId="2E66B78B" w:rsidR="00760963" w:rsidRPr="00394B38" w:rsidRDefault="009578E9" w:rsidP="00852FA6">
            <w:pPr>
              <w:pStyle w:val="ListParagraph"/>
              <w:ind w:left="0"/>
              <w:jc w:val="both"/>
              <w:rPr>
                <w:sz w:val="28"/>
                <w:szCs w:val="28"/>
                <w:lang w:val="ro-MD"/>
              </w:rPr>
            </w:pPr>
            <w:r w:rsidRPr="00394B38">
              <w:rPr>
                <w:sz w:val="28"/>
                <w:szCs w:val="28"/>
                <w:lang w:val="ro-MD"/>
              </w:rPr>
              <w:t>Subsecvent celor expuse, având în vedere prevederile art. 12 din Legea nr. 106/2022, care prevede că  asigurătorii RCA vor aplica primele de asigurare de bază și coeficienții de rectificare aferenți asigurării obligatorii RCA interne și externe stabilite în baza calculelor actuariale interne ale acestora,</w:t>
            </w:r>
            <w:r w:rsidR="00AC697D" w:rsidRPr="00394B38">
              <w:rPr>
                <w:sz w:val="28"/>
                <w:szCs w:val="28"/>
                <w:lang w:val="ro-MD"/>
              </w:rPr>
              <w:t xml:space="preserve"> potrivit cadrului metodologic de calculare </w:t>
            </w:r>
            <w:r w:rsidR="00770C11" w:rsidRPr="00394B38">
              <w:rPr>
                <w:sz w:val="28"/>
                <w:szCs w:val="28"/>
                <w:lang w:val="ro-MD"/>
              </w:rPr>
              <w:t>și</w:t>
            </w:r>
            <w:r w:rsidR="00AC697D" w:rsidRPr="00394B38">
              <w:rPr>
                <w:sz w:val="28"/>
                <w:szCs w:val="28"/>
                <w:lang w:val="ro-MD"/>
              </w:rPr>
              <w:t xml:space="preserve"> aplicare stabilit de către Banca </w:t>
            </w:r>
            <w:r w:rsidR="00770C11" w:rsidRPr="00394B38">
              <w:rPr>
                <w:sz w:val="28"/>
                <w:szCs w:val="28"/>
                <w:lang w:val="ro-MD"/>
              </w:rPr>
              <w:t>Națională</w:t>
            </w:r>
            <w:r w:rsidR="00AC697D" w:rsidRPr="00394B38">
              <w:rPr>
                <w:sz w:val="28"/>
                <w:szCs w:val="28"/>
                <w:lang w:val="ro-MD"/>
              </w:rPr>
              <w:t xml:space="preserve"> a Moldovei,</w:t>
            </w:r>
            <w:r w:rsidRPr="00394B38">
              <w:rPr>
                <w:sz w:val="28"/>
                <w:szCs w:val="28"/>
                <w:lang w:val="ro-MD"/>
              </w:rPr>
              <w:t xml:space="preserve"> odată cu intrarea în vigoare a prezent</w:t>
            </w:r>
            <w:r w:rsidR="00AC697D" w:rsidRPr="00394B38">
              <w:rPr>
                <w:sz w:val="28"/>
                <w:szCs w:val="28"/>
                <w:lang w:val="ro-MD"/>
              </w:rPr>
              <w:t>ului proiect de</w:t>
            </w:r>
            <w:r w:rsidRPr="00394B38">
              <w:rPr>
                <w:sz w:val="28"/>
                <w:szCs w:val="28"/>
                <w:lang w:val="ro-MD"/>
              </w:rPr>
              <w:t xml:space="preserve"> hotărâr</w:t>
            </w:r>
            <w:r w:rsidR="00AC697D" w:rsidRPr="00394B38">
              <w:rPr>
                <w:sz w:val="28"/>
                <w:szCs w:val="28"/>
                <w:lang w:val="ro-MD"/>
              </w:rPr>
              <w:t>e</w:t>
            </w:r>
            <w:r w:rsidRPr="00394B38">
              <w:rPr>
                <w:sz w:val="28"/>
                <w:szCs w:val="28"/>
                <w:lang w:val="ro-MD"/>
              </w:rPr>
              <w:t xml:space="preserve">, </w:t>
            </w:r>
            <w:r w:rsidRPr="00394B38">
              <w:rPr>
                <w:i/>
                <w:iCs/>
                <w:sz w:val="28"/>
                <w:szCs w:val="28"/>
                <w:lang w:val="ro-MD"/>
              </w:rPr>
              <w:t xml:space="preserve">se </w:t>
            </w:r>
            <w:r w:rsidR="00AC697D" w:rsidRPr="00394B38">
              <w:rPr>
                <w:i/>
                <w:iCs/>
                <w:sz w:val="28"/>
                <w:szCs w:val="28"/>
                <w:lang w:val="ro-MD"/>
              </w:rPr>
              <w:t xml:space="preserve">impune necesitatea </w:t>
            </w:r>
            <w:r w:rsidRPr="00394B38">
              <w:rPr>
                <w:i/>
                <w:iCs/>
                <w:sz w:val="28"/>
                <w:szCs w:val="28"/>
                <w:lang w:val="ro-MD"/>
              </w:rPr>
              <w:t>abrog</w:t>
            </w:r>
            <w:r w:rsidR="00AC697D" w:rsidRPr="00394B38">
              <w:rPr>
                <w:i/>
                <w:iCs/>
                <w:sz w:val="28"/>
                <w:szCs w:val="28"/>
                <w:lang w:val="ro-MD"/>
              </w:rPr>
              <w:t>ării</w:t>
            </w:r>
            <w:r w:rsidRPr="00394B38">
              <w:rPr>
                <w:i/>
                <w:iCs/>
                <w:sz w:val="28"/>
                <w:szCs w:val="28"/>
                <w:lang w:val="ro-MD"/>
              </w:rPr>
              <w:t xml:space="preserve"> Hotărâr</w:t>
            </w:r>
            <w:r w:rsidR="00AC697D" w:rsidRPr="00394B38">
              <w:rPr>
                <w:i/>
                <w:iCs/>
                <w:sz w:val="28"/>
                <w:szCs w:val="28"/>
                <w:lang w:val="ro-MD"/>
              </w:rPr>
              <w:t>ii</w:t>
            </w:r>
            <w:r w:rsidRPr="00394B38">
              <w:rPr>
                <w:i/>
                <w:iCs/>
                <w:sz w:val="28"/>
                <w:szCs w:val="28"/>
                <w:lang w:val="ro-MD"/>
              </w:rPr>
              <w:t xml:space="preserve"> CNPF nr. 25/2/2019 cu privire la modul de prezentare, avizare și aplicare a calculelor actuariale ale primelor de asigurare obligatorie de răspundere civilă auto</w:t>
            </w:r>
            <w:r w:rsidRPr="00394B38">
              <w:rPr>
                <w:sz w:val="28"/>
                <w:szCs w:val="28"/>
                <w:lang w:val="ro-MD"/>
              </w:rPr>
              <w:t>, care este aplicată în prezent de către societățile de asigurări.</w:t>
            </w:r>
          </w:p>
        </w:tc>
      </w:tr>
      <w:tr w:rsidR="00016F1B" w:rsidRPr="007823AD" w14:paraId="19E22A10" w14:textId="77777777" w:rsidTr="007823AD">
        <w:tc>
          <w:tcPr>
            <w:tcW w:w="9493" w:type="dxa"/>
          </w:tcPr>
          <w:p w14:paraId="40E4857F" w14:textId="77777777" w:rsidR="00016F1B" w:rsidRPr="007823AD" w:rsidRDefault="00016F1B" w:rsidP="00016F1B">
            <w:pPr>
              <w:pStyle w:val="Heading1"/>
              <w:numPr>
                <w:ilvl w:val="0"/>
                <w:numId w:val="1"/>
              </w:numPr>
              <w:tabs>
                <w:tab w:val="num" w:pos="360"/>
                <w:tab w:val="left" w:pos="567"/>
              </w:tabs>
              <w:spacing w:before="0"/>
              <w:ind w:left="0" w:firstLine="0"/>
              <w:jc w:val="both"/>
              <w:outlineLvl w:val="0"/>
              <w:rPr>
                <w:rFonts w:cs="Times New Roman"/>
                <w:b/>
                <w:bCs/>
                <w:szCs w:val="28"/>
                <w:lang w:bidi="or-IN"/>
              </w:rPr>
            </w:pPr>
            <w:r w:rsidRPr="007823AD">
              <w:rPr>
                <w:rFonts w:cs="Times New Roman"/>
                <w:b/>
                <w:szCs w:val="28"/>
              </w:rPr>
              <w:lastRenderedPageBreak/>
              <w:t>Fundamentarea economico-financiară:</w:t>
            </w:r>
          </w:p>
        </w:tc>
      </w:tr>
      <w:tr w:rsidR="00016F1B" w:rsidRPr="007823AD" w14:paraId="4FDBEC2C" w14:textId="77777777" w:rsidTr="007823AD">
        <w:tc>
          <w:tcPr>
            <w:tcW w:w="9493" w:type="dxa"/>
          </w:tcPr>
          <w:p w14:paraId="147461E3" w14:textId="7ABC3B30" w:rsidR="00016F1B" w:rsidRPr="007823AD" w:rsidRDefault="009B5AD6" w:rsidP="00D3210A">
            <w:pPr>
              <w:jc w:val="both"/>
              <w:rPr>
                <w:sz w:val="28"/>
                <w:szCs w:val="28"/>
                <w:lang w:val="ro-RO"/>
              </w:rPr>
            </w:pPr>
            <w:r w:rsidRPr="009B5AD6">
              <w:rPr>
                <w:sz w:val="28"/>
                <w:szCs w:val="28"/>
                <w:lang w:val="ro-RO"/>
              </w:rPr>
              <w:t>Implementarea proiectului nu implică cheltuieli financiare și alocarea mijloacelor financiare suplimentare din contul bugetului de stat.</w:t>
            </w:r>
          </w:p>
        </w:tc>
      </w:tr>
      <w:tr w:rsidR="00016F1B" w:rsidRPr="007823AD" w14:paraId="7BFE65E3" w14:textId="77777777" w:rsidTr="007823AD">
        <w:tc>
          <w:tcPr>
            <w:tcW w:w="9493" w:type="dxa"/>
          </w:tcPr>
          <w:p w14:paraId="4300425B" w14:textId="77777777" w:rsidR="00016F1B" w:rsidRPr="007823AD" w:rsidRDefault="00016F1B" w:rsidP="00016F1B">
            <w:pPr>
              <w:pStyle w:val="Heading1"/>
              <w:numPr>
                <w:ilvl w:val="0"/>
                <w:numId w:val="1"/>
              </w:numPr>
              <w:tabs>
                <w:tab w:val="num" w:pos="360"/>
                <w:tab w:val="left" w:pos="426"/>
              </w:tabs>
              <w:spacing w:before="0"/>
              <w:ind w:left="0" w:firstLine="0"/>
              <w:jc w:val="both"/>
              <w:outlineLvl w:val="0"/>
              <w:rPr>
                <w:rFonts w:cs="Times New Roman"/>
                <w:b/>
                <w:bCs/>
                <w:szCs w:val="28"/>
                <w:lang w:bidi="or-IN"/>
              </w:rPr>
            </w:pPr>
            <w:r w:rsidRPr="007823AD">
              <w:rPr>
                <w:rFonts w:cs="Times New Roman"/>
                <w:b/>
                <w:szCs w:val="28"/>
              </w:rPr>
              <w:t>Modul de încorporare a actului în cadrul normativ în vigoare:</w:t>
            </w:r>
          </w:p>
        </w:tc>
      </w:tr>
      <w:tr w:rsidR="00016F1B" w:rsidRPr="007823AD" w14:paraId="7991D05A" w14:textId="77777777" w:rsidTr="007823AD">
        <w:tc>
          <w:tcPr>
            <w:tcW w:w="9493" w:type="dxa"/>
          </w:tcPr>
          <w:p w14:paraId="6997A495" w14:textId="3AD515D0" w:rsidR="00016F1B" w:rsidRPr="007823AD" w:rsidRDefault="00760963" w:rsidP="00D3210A">
            <w:pPr>
              <w:widowControl w:val="0"/>
              <w:autoSpaceDE w:val="0"/>
              <w:autoSpaceDN w:val="0"/>
              <w:adjustRightInd w:val="0"/>
              <w:jc w:val="both"/>
              <w:rPr>
                <w:rFonts w:eastAsia="Calibri Light"/>
                <w:sz w:val="28"/>
                <w:szCs w:val="28"/>
                <w:lang w:val="ro-RO"/>
              </w:rPr>
            </w:pPr>
            <w:r w:rsidRPr="00760963">
              <w:rPr>
                <w:rFonts w:eastAsia="Calibri Light"/>
                <w:sz w:val="28"/>
                <w:szCs w:val="28"/>
                <w:lang w:val="ro-RO"/>
              </w:rPr>
              <w:t xml:space="preserve">Implementarea prevederilor </w:t>
            </w:r>
            <w:r w:rsidR="001A16D9" w:rsidRPr="00760963">
              <w:rPr>
                <w:rFonts w:eastAsia="Calibri Light"/>
                <w:sz w:val="28"/>
                <w:szCs w:val="28"/>
                <w:lang w:val="ro-RO"/>
              </w:rPr>
              <w:t>prezent</w:t>
            </w:r>
            <w:r w:rsidR="001A16D9">
              <w:rPr>
                <w:rFonts w:eastAsia="Calibri Light"/>
                <w:sz w:val="28"/>
                <w:szCs w:val="28"/>
                <w:lang w:val="ro-RO"/>
              </w:rPr>
              <w:t xml:space="preserve">ului proiect de </w:t>
            </w:r>
            <w:r w:rsidRPr="00760963">
              <w:rPr>
                <w:rFonts w:eastAsia="Calibri Light"/>
                <w:sz w:val="28"/>
                <w:szCs w:val="28"/>
                <w:lang w:val="ro-RO"/>
              </w:rPr>
              <w:t>hotărâr</w:t>
            </w:r>
            <w:r w:rsidR="001A16D9">
              <w:rPr>
                <w:rFonts w:eastAsia="Calibri Light"/>
                <w:sz w:val="28"/>
                <w:szCs w:val="28"/>
                <w:lang w:val="ro-RO"/>
              </w:rPr>
              <w:t>e</w:t>
            </w:r>
            <w:r w:rsidRPr="00760963">
              <w:rPr>
                <w:rFonts w:eastAsia="Calibri Light"/>
                <w:sz w:val="28"/>
                <w:szCs w:val="28"/>
                <w:lang w:val="ro-RO"/>
              </w:rPr>
              <w:t xml:space="preserve"> </w:t>
            </w:r>
            <w:r w:rsidR="001A16D9">
              <w:rPr>
                <w:rFonts w:eastAsia="Calibri Light"/>
                <w:sz w:val="28"/>
                <w:szCs w:val="28"/>
                <w:lang w:val="ro-RO"/>
              </w:rPr>
              <w:t xml:space="preserve">impune </w:t>
            </w:r>
            <w:r w:rsidRPr="00760963">
              <w:rPr>
                <w:rFonts w:eastAsia="Calibri Light"/>
                <w:sz w:val="28"/>
                <w:szCs w:val="28"/>
                <w:lang w:val="ro-RO"/>
              </w:rPr>
              <w:t>necesit</w:t>
            </w:r>
            <w:r w:rsidR="001A16D9">
              <w:rPr>
                <w:rFonts w:eastAsia="Calibri Light"/>
                <w:sz w:val="28"/>
                <w:szCs w:val="28"/>
                <w:lang w:val="ro-RO"/>
              </w:rPr>
              <w:t>atea</w:t>
            </w:r>
            <w:r w:rsidRPr="00760963">
              <w:rPr>
                <w:rFonts w:eastAsia="Calibri Light"/>
                <w:sz w:val="28"/>
                <w:szCs w:val="28"/>
                <w:lang w:val="ro-RO"/>
              </w:rPr>
              <w:t xml:space="preserve"> abrog</w:t>
            </w:r>
            <w:r w:rsidR="001A16D9">
              <w:rPr>
                <w:rFonts w:eastAsia="Calibri Light"/>
                <w:sz w:val="28"/>
                <w:szCs w:val="28"/>
                <w:lang w:val="ro-RO"/>
              </w:rPr>
              <w:t>ării</w:t>
            </w:r>
            <w:r w:rsidRPr="00760963">
              <w:rPr>
                <w:rFonts w:eastAsia="Calibri Light"/>
                <w:sz w:val="28"/>
                <w:szCs w:val="28"/>
                <w:lang w:val="ro-RO"/>
              </w:rPr>
              <w:t xml:space="preserve"> Hotărârii CNPF nr. 25/2/2019 cu privire la modul de prezentare, avizare și aplicare a calculelor actuariale ale primelor de asigurare obligatorie de răspundere civilă auto.</w:t>
            </w:r>
          </w:p>
        </w:tc>
      </w:tr>
      <w:tr w:rsidR="00016F1B" w:rsidRPr="007823AD" w14:paraId="2A515BC0" w14:textId="77777777" w:rsidTr="007823AD">
        <w:tc>
          <w:tcPr>
            <w:tcW w:w="9493" w:type="dxa"/>
          </w:tcPr>
          <w:p w14:paraId="69F2FFEF" w14:textId="77777777" w:rsidR="00016F1B" w:rsidRPr="007823AD" w:rsidRDefault="00016F1B" w:rsidP="00016F1B">
            <w:pPr>
              <w:pStyle w:val="Heading1"/>
              <w:numPr>
                <w:ilvl w:val="0"/>
                <w:numId w:val="1"/>
              </w:numPr>
              <w:tabs>
                <w:tab w:val="num" w:pos="360"/>
                <w:tab w:val="left" w:pos="426"/>
              </w:tabs>
              <w:spacing w:before="0"/>
              <w:ind w:left="0" w:firstLine="0"/>
              <w:jc w:val="both"/>
              <w:outlineLvl w:val="0"/>
              <w:rPr>
                <w:rFonts w:cs="Times New Roman"/>
                <w:b/>
                <w:bCs/>
                <w:szCs w:val="28"/>
                <w:lang w:bidi="or-IN"/>
              </w:rPr>
            </w:pPr>
            <w:r w:rsidRPr="007823AD">
              <w:rPr>
                <w:rFonts w:cs="Times New Roman"/>
                <w:b/>
                <w:szCs w:val="28"/>
              </w:rPr>
              <w:t>Avizarea și consultarea publică a proiectului:</w:t>
            </w:r>
          </w:p>
        </w:tc>
      </w:tr>
      <w:tr w:rsidR="00016F1B" w:rsidRPr="007823AD" w14:paraId="558CCCCB" w14:textId="77777777" w:rsidTr="007823AD">
        <w:tc>
          <w:tcPr>
            <w:tcW w:w="9493" w:type="dxa"/>
          </w:tcPr>
          <w:p w14:paraId="7969D34B" w14:textId="77777777" w:rsidR="00760963" w:rsidRPr="00760963" w:rsidRDefault="00760963" w:rsidP="00760963">
            <w:pPr>
              <w:widowControl w:val="0"/>
              <w:autoSpaceDE w:val="0"/>
              <w:autoSpaceDN w:val="0"/>
              <w:adjustRightInd w:val="0"/>
              <w:jc w:val="both"/>
              <w:rPr>
                <w:rFonts w:eastAsia="Calibri Light"/>
                <w:sz w:val="28"/>
                <w:szCs w:val="28"/>
                <w:lang w:val="ro-RO"/>
              </w:rPr>
            </w:pPr>
            <w:r w:rsidRPr="00760963">
              <w:rPr>
                <w:rFonts w:eastAsia="Calibri Light"/>
                <w:sz w:val="28"/>
                <w:szCs w:val="28"/>
                <w:lang w:val="ro-RO"/>
              </w:rPr>
              <w:t xml:space="preserve">În scopul respectării prevederilor Legii nr. 239/2008 privind transparența în procesul decizional și ale Regulamentului privind asigurarea transparenței în procesul de elaborare și adoptare a deciziilor Băncii Naționale a Moldovei (aprobat prin HCE al BNM nr. 230/2010), proiectul hotărârii se supune consultării publice, </w:t>
            </w:r>
            <w:r w:rsidRPr="00760963">
              <w:rPr>
                <w:rFonts w:eastAsia="Calibri Light"/>
                <w:sz w:val="28"/>
                <w:szCs w:val="28"/>
                <w:lang w:val="ro-RO"/>
              </w:rPr>
              <w:lastRenderedPageBreak/>
              <w:t>fiind plasat pe pagina web a BNM - www.bnm.md, la compartimentul „Legislație”, rubrica „Transparența decizională”.</w:t>
            </w:r>
          </w:p>
          <w:p w14:paraId="0E39AC1F" w14:textId="6BDBE69E" w:rsidR="00016F1B" w:rsidRPr="007823AD" w:rsidRDefault="00760963" w:rsidP="00760963">
            <w:pPr>
              <w:widowControl w:val="0"/>
              <w:autoSpaceDE w:val="0"/>
              <w:autoSpaceDN w:val="0"/>
              <w:adjustRightInd w:val="0"/>
              <w:jc w:val="both"/>
              <w:rPr>
                <w:rFonts w:eastAsia="Calibri Light"/>
                <w:sz w:val="28"/>
                <w:szCs w:val="28"/>
                <w:lang w:val="ro-RO"/>
              </w:rPr>
            </w:pPr>
            <w:r w:rsidRPr="00760963">
              <w:rPr>
                <w:rFonts w:eastAsia="Calibri Light"/>
                <w:sz w:val="28"/>
                <w:szCs w:val="28"/>
                <w:lang w:val="ro-RO"/>
              </w:rPr>
              <w:t>În virtutea prevederilor art. 32 din Legea nr. 100/2017, proiectul hotărârii se transmite spre avizare autorităților publice interesate și se supune consultărilor publice.</w:t>
            </w:r>
          </w:p>
        </w:tc>
      </w:tr>
      <w:tr w:rsidR="00016F1B" w:rsidRPr="007823AD" w14:paraId="3B5245DC" w14:textId="77777777" w:rsidTr="007823AD">
        <w:tc>
          <w:tcPr>
            <w:tcW w:w="9493" w:type="dxa"/>
          </w:tcPr>
          <w:p w14:paraId="1599760B" w14:textId="032ABB9E" w:rsidR="00016F1B" w:rsidRPr="007823AD" w:rsidRDefault="00016F1B" w:rsidP="00016F1B">
            <w:pPr>
              <w:pStyle w:val="Heading1"/>
              <w:numPr>
                <w:ilvl w:val="0"/>
                <w:numId w:val="1"/>
              </w:numPr>
              <w:tabs>
                <w:tab w:val="num" w:pos="360"/>
                <w:tab w:val="left" w:pos="426"/>
              </w:tabs>
              <w:spacing w:before="0"/>
              <w:ind w:left="0" w:firstLine="0"/>
              <w:jc w:val="both"/>
              <w:outlineLvl w:val="0"/>
              <w:rPr>
                <w:rFonts w:cs="Times New Roman"/>
                <w:b/>
                <w:bCs/>
                <w:szCs w:val="28"/>
                <w:lang w:bidi="or-IN"/>
              </w:rPr>
            </w:pPr>
            <w:r w:rsidRPr="007823AD">
              <w:rPr>
                <w:rFonts w:cs="Times New Roman"/>
                <w:b/>
                <w:szCs w:val="28"/>
              </w:rPr>
              <w:lastRenderedPageBreak/>
              <w:t xml:space="preserve">Constatările expertizei </w:t>
            </w:r>
            <w:r w:rsidR="00760963">
              <w:rPr>
                <w:rFonts w:cs="Times New Roman"/>
                <w:b/>
                <w:szCs w:val="28"/>
              </w:rPr>
              <w:t>anticorupție</w:t>
            </w:r>
            <w:r w:rsidRPr="007823AD">
              <w:rPr>
                <w:rFonts w:cs="Times New Roman"/>
                <w:b/>
                <w:szCs w:val="28"/>
              </w:rPr>
              <w:t>:</w:t>
            </w:r>
          </w:p>
        </w:tc>
      </w:tr>
      <w:tr w:rsidR="00016F1B" w:rsidRPr="007823AD" w14:paraId="116CDAE3" w14:textId="77777777" w:rsidTr="007823AD">
        <w:tc>
          <w:tcPr>
            <w:tcW w:w="9493" w:type="dxa"/>
          </w:tcPr>
          <w:p w14:paraId="5E4ED5CC" w14:textId="4DEFAD4C" w:rsidR="00016F1B" w:rsidRPr="007823AD" w:rsidRDefault="00760963" w:rsidP="00760963">
            <w:pPr>
              <w:jc w:val="both"/>
              <w:rPr>
                <w:sz w:val="28"/>
                <w:szCs w:val="28"/>
                <w:lang w:val="ro-RO"/>
              </w:rPr>
            </w:pPr>
            <w:r w:rsidRPr="00760963">
              <w:rPr>
                <w:sz w:val="28"/>
                <w:szCs w:val="28"/>
                <w:lang w:val="ro-RO"/>
              </w:rPr>
              <w:t>În conformitate cu art. 28 alin. (9) din Legea integrității nr. 82/2017 și art. 35 alin. (2) din Legea nr. 100/2017 cu privire la actele normative, la elaborarea proiectului s-a ținut cont de Metodologia de efectuare a expertizei anticorupție a proiectelor de acte legislative și normative departamentale</w:t>
            </w:r>
            <w:r w:rsidR="00417417">
              <w:rPr>
                <w:sz w:val="28"/>
                <w:szCs w:val="28"/>
                <w:lang w:val="ro-RO"/>
              </w:rPr>
              <w:t>,</w:t>
            </w:r>
            <w:r w:rsidRPr="00760963">
              <w:rPr>
                <w:sz w:val="28"/>
                <w:szCs w:val="28"/>
                <w:lang w:val="ro-RO"/>
              </w:rPr>
              <w:t xml:space="preserve"> aprobată prin Hotărârea Colegiului CNA</w:t>
            </w:r>
            <w:r w:rsidR="00B009B4">
              <w:rPr>
                <w:sz w:val="28"/>
                <w:szCs w:val="28"/>
                <w:lang w:val="ro-RO"/>
              </w:rPr>
              <w:t>,</w:t>
            </w:r>
            <w:r w:rsidR="00B009B4">
              <w:t xml:space="preserve"> </w:t>
            </w:r>
            <w:r w:rsidR="00B009B4">
              <w:rPr>
                <w:sz w:val="28"/>
                <w:szCs w:val="28"/>
                <w:lang w:val="ro-RO"/>
              </w:rPr>
              <w:t>P</w:t>
            </w:r>
            <w:r w:rsidR="00B009B4" w:rsidRPr="00B009B4">
              <w:rPr>
                <w:sz w:val="28"/>
                <w:szCs w:val="28"/>
                <w:lang w:val="ro-RO"/>
              </w:rPr>
              <w:t>roiectul hotărârii a fost supus expertizei anticorupție în cadrul Băncii Naționale a Moldovei, în urma căreia factori și riscuri de corupție nu au fost identifica</w:t>
            </w:r>
            <w:r w:rsidR="00B009B4">
              <w:rPr>
                <w:sz w:val="28"/>
                <w:szCs w:val="28"/>
                <w:lang w:val="ro-RO"/>
              </w:rPr>
              <w:t>ți</w:t>
            </w:r>
            <w:r w:rsidR="00B009B4" w:rsidRPr="00B009B4">
              <w:rPr>
                <w:sz w:val="28"/>
                <w:szCs w:val="28"/>
                <w:lang w:val="ro-RO"/>
              </w:rPr>
              <w:t>.</w:t>
            </w:r>
          </w:p>
        </w:tc>
      </w:tr>
      <w:tr w:rsidR="00760963" w:rsidRPr="007823AD" w14:paraId="40EFCF96" w14:textId="77777777" w:rsidTr="007823AD">
        <w:tc>
          <w:tcPr>
            <w:tcW w:w="9493" w:type="dxa"/>
          </w:tcPr>
          <w:p w14:paraId="065689C4" w14:textId="3BCC5256" w:rsidR="00760963" w:rsidRPr="00760963" w:rsidRDefault="00760963" w:rsidP="00760963">
            <w:pPr>
              <w:pStyle w:val="ListParagraph"/>
              <w:numPr>
                <w:ilvl w:val="0"/>
                <w:numId w:val="1"/>
              </w:numPr>
              <w:ind w:left="306" w:hanging="284"/>
              <w:jc w:val="both"/>
              <w:rPr>
                <w:b/>
                <w:bCs/>
                <w:sz w:val="28"/>
                <w:szCs w:val="28"/>
                <w:lang w:val="ro-RO"/>
              </w:rPr>
            </w:pPr>
            <w:r w:rsidRPr="00760963">
              <w:rPr>
                <w:b/>
                <w:bCs/>
                <w:sz w:val="28"/>
                <w:szCs w:val="28"/>
                <w:lang w:val="ro-RO"/>
              </w:rPr>
              <w:t>Consultările expertizei juridice</w:t>
            </w:r>
          </w:p>
        </w:tc>
      </w:tr>
      <w:tr w:rsidR="00760963" w:rsidRPr="0071370C" w14:paraId="2B2167B5" w14:textId="77777777" w:rsidTr="007823AD">
        <w:tc>
          <w:tcPr>
            <w:tcW w:w="9493" w:type="dxa"/>
          </w:tcPr>
          <w:p w14:paraId="58EA2F32" w14:textId="54E73F29" w:rsidR="00760963" w:rsidRPr="00760963" w:rsidRDefault="00760963" w:rsidP="00760963">
            <w:pPr>
              <w:jc w:val="both"/>
              <w:rPr>
                <w:sz w:val="28"/>
                <w:szCs w:val="28"/>
                <w:lang w:val="ro-RO"/>
              </w:rPr>
            </w:pPr>
            <w:r w:rsidRPr="00760963">
              <w:rPr>
                <w:sz w:val="28"/>
                <w:szCs w:val="28"/>
                <w:lang w:val="ro-RO"/>
              </w:rPr>
              <w:t>Potrivit art. 37 alin. (5) din Legea nr. 100/2017, actele normative emise de BNM nu se supun expertizei juridice. Totodată, conform art. 11 alin. (3</w:t>
            </w:r>
            <w:r w:rsidRPr="00911236">
              <w:rPr>
                <w:sz w:val="28"/>
                <w:szCs w:val="28"/>
                <w:vertAlign w:val="superscript"/>
                <w:lang w:val="ro-RO"/>
              </w:rPr>
              <w:t>3</w:t>
            </w:r>
            <w:r w:rsidRPr="00760963">
              <w:rPr>
                <w:sz w:val="28"/>
                <w:szCs w:val="28"/>
                <w:lang w:val="ro-RO"/>
              </w:rPr>
              <w:t>) din Legea nr. 548/1995 cu privire la Banca Națională a Moldovei, BNM va solicita  opini</w:t>
            </w:r>
            <w:r w:rsidR="0071370C">
              <w:rPr>
                <w:sz w:val="28"/>
                <w:szCs w:val="28"/>
                <w:lang w:val="ro-RO"/>
              </w:rPr>
              <w:t>a</w:t>
            </w:r>
            <w:r w:rsidRPr="00760963">
              <w:rPr>
                <w:sz w:val="28"/>
                <w:szCs w:val="28"/>
                <w:lang w:val="ro-RO"/>
              </w:rPr>
              <w:t xml:space="preserve"> cu caracter consultativ din partea Ministerului Justiției.</w:t>
            </w:r>
          </w:p>
        </w:tc>
      </w:tr>
      <w:tr w:rsidR="00760963" w:rsidRPr="007823AD" w14:paraId="762251B2" w14:textId="77777777" w:rsidTr="007823AD">
        <w:tc>
          <w:tcPr>
            <w:tcW w:w="9493" w:type="dxa"/>
          </w:tcPr>
          <w:p w14:paraId="45B61A78" w14:textId="61248EDF" w:rsidR="00760963" w:rsidRPr="00760963" w:rsidRDefault="00760963" w:rsidP="00760963">
            <w:pPr>
              <w:pStyle w:val="ListParagraph"/>
              <w:numPr>
                <w:ilvl w:val="0"/>
                <w:numId w:val="1"/>
              </w:numPr>
              <w:ind w:left="306"/>
              <w:rPr>
                <w:b/>
                <w:sz w:val="28"/>
                <w:szCs w:val="26"/>
                <w:lang w:val="ro-RO"/>
              </w:rPr>
            </w:pPr>
            <w:r w:rsidRPr="00760963">
              <w:rPr>
                <w:b/>
                <w:sz w:val="28"/>
                <w:szCs w:val="26"/>
                <w:lang w:val="ro-RO"/>
              </w:rPr>
              <w:t>Intrarea în vigoare</w:t>
            </w:r>
          </w:p>
        </w:tc>
      </w:tr>
      <w:tr w:rsidR="00760963" w:rsidRPr="007823AD" w14:paraId="03948C1B" w14:textId="77777777" w:rsidTr="007823AD">
        <w:tc>
          <w:tcPr>
            <w:tcW w:w="9493" w:type="dxa"/>
          </w:tcPr>
          <w:p w14:paraId="2F7DAE4D" w14:textId="45DEA90C" w:rsidR="00760963" w:rsidRPr="00760963" w:rsidRDefault="00760963" w:rsidP="00B009B4">
            <w:pPr>
              <w:jc w:val="both"/>
              <w:rPr>
                <w:sz w:val="28"/>
                <w:szCs w:val="28"/>
                <w:lang w:val="ro-RO"/>
              </w:rPr>
            </w:pPr>
            <w:r w:rsidRPr="00760963">
              <w:rPr>
                <w:sz w:val="28"/>
                <w:szCs w:val="28"/>
                <w:lang w:val="ro-RO"/>
              </w:rPr>
              <w:t xml:space="preserve">Conform art. 56 din  Legea nr. 100/2017, </w:t>
            </w:r>
            <w:r w:rsidR="002D02B6">
              <w:rPr>
                <w:sz w:val="28"/>
                <w:szCs w:val="28"/>
                <w:lang w:val="ro-RO"/>
              </w:rPr>
              <w:t xml:space="preserve">prezenta hotărâre </w:t>
            </w:r>
            <w:r w:rsidR="00417417">
              <w:rPr>
                <w:sz w:val="28"/>
                <w:szCs w:val="28"/>
                <w:lang w:val="ro-RO"/>
              </w:rPr>
              <w:t xml:space="preserve">va intra în vigoare </w:t>
            </w:r>
            <w:r w:rsidRPr="00760963">
              <w:rPr>
                <w:sz w:val="28"/>
                <w:szCs w:val="28"/>
                <w:lang w:val="ro-RO"/>
              </w:rPr>
              <w:t xml:space="preserve">în termen de 40 </w:t>
            </w:r>
            <w:r w:rsidR="00417417">
              <w:rPr>
                <w:sz w:val="28"/>
                <w:szCs w:val="28"/>
                <w:lang w:val="ro-RO"/>
              </w:rPr>
              <w:t xml:space="preserve">de </w:t>
            </w:r>
            <w:r w:rsidRPr="00760963">
              <w:rPr>
                <w:sz w:val="28"/>
                <w:szCs w:val="28"/>
                <w:lang w:val="ro-RO"/>
              </w:rPr>
              <w:t>zile de la data publicării în Monitorul oficial al Republicii Moldova</w:t>
            </w:r>
            <w:r w:rsidR="00417417">
              <w:rPr>
                <w:sz w:val="28"/>
                <w:szCs w:val="28"/>
                <w:lang w:val="ro-RO"/>
              </w:rPr>
              <w:t>,</w:t>
            </w:r>
            <w:r w:rsidRPr="00760963">
              <w:rPr>
                <w:sz w:val="28"/>
                <w:szCs w:val="28"/>
                <w:lang w:val="ro-RO"/>
              </w:rPr>
              <w:t xml:space="preserve"> având în vedere termen</w:t>
            </w:r>
            <w:r w:rsidR="00417417">
              <w:rPr>
                <w:sz w:val="28"/>
                <w:szCs w:val="28"/>
                <w:lang w:val="ro-RO"/>
              </w:rPr>
              <w:t>ele</w:t>
            </w:r>
            <w:r w:rsidRPr="00760963">
              <w:rPr>
                <w:sz w:val="28"/>
                <w:szCs w:val="28"/>
                <w:lang w:val="ro-RO"/>
              </w:rPr>
              <w:t xml:space="preserve"> prevăzu</w:t>
            </w:r>
            <w:r w:rsidR="00417417">
              <w:rPr>
                <w:sz w:val="28"/>
                <w:szCs w:val="28"/>
                <w:lang w:val="ro-RO"/>
              </w:rPr>
              <w:t>te</w:t>
            </w:r>
            <w:r w:rsidRPr="00760963">
              <w:rPr>
                <w:sz w:val="28"/>
                <w:szCs w:val="28"/>
                <w:lang w:val="ro-RO"/>
              </w:rPr>
              <w:t xml:space="preserve"> în Metodologia aprobată prin Hotărârea</w:t>
            </w:r>
            <w:r w:rsidR="001A16D9">
              <w:rPr>
                <w:sz w:val="28"/>
                <w:szCs w:val="28"/>
                <w:lang w:val="ro-RO"/>
              </w:rPr>
              <w:t xml:space="preserve"> CNPF</w:t>
            </w:r>
            <w:r w:rsidRPr="00760963">
              <w:rPr>
                <w:sz w:val="28"/>
                <w:szCs w:val="28"/>
                <w:lang w:val="ro-RO"/>
              </w:rPr>
              <w:t xml:space="preserve"> nr. 31/2/2023, în special de prezentare (10 zile) și examinare (30 zile) a primelor de asigurare de bază și </w:t>
            </w:r>
            <w:r w:rsidR="002027C0">
              <w:rPr>
                <w:sz w:val="28"/>
                <w:szCs w:val="28"/>
                <w:lang w:val="ro-RO"/>
              </w:rPr>
              <w:t xml:space="preserve">a </w:t>
            </w:r>
            <w:r w:rsidRPr="00760963">
              <w:rPr>
                <w:sz w:val="28"/>
                <w:szCs w:val="28"/>
                <w:lang w:val="ro-RO"/>
              </w:rPr>
              <w:t>coeficienți</w:t>
            </w:r>
            <w:r w:rsidR="002027C0">
              <w:rPr>
                <w:sz w:val="28"/>
                <w:szCs w:val="28"/>
                <w:lang w:val="ro-RO"/>
              </w:rPr>
              <w:t>lor</w:t>
            </w:r>
            <w:r w:rsidRPr="00760963">
              <w:rPr>
                <w:sz w:val="28"/>
                <w:szCs w:val="28"/>
                <w:lang w:val="ro-RO"/>
              </w:rPr>
              <w:t xml:space="preserve"> de rectificare prezentați de </w:t>
            </w:r>
            <w:r w:rsidR="001A16D9" w:rsidRPr="00760963">
              <w:rPr>
                <w:sz w:val="28"/>
                <w:szCs w:val="28"/>
                <w:lang w:val="ro-RO"/>
              </w:rPr>
              <w:t>societ</w:t>
            </w:r>
            <w:r w:rsidR="001A16D9">
              <w:rPr>
                <w:sz w:val="28"/>
                <w:szCs w:val="28"/>
                <w:lang w:val="ro-RO"/>
              </w:rPr>
              <w:t>ățile</w:t>
            </w:r>
            <w:r w:rsidR="001A16D9" w:rsidRPr="00760963">
              <w:rPr>
                <w:sz w:val="28"/>
                <w:szCs w:val="28"/>
                <w:lang w:val="ro-RO"/>
              </w:rPr>
              <w:t xml:space="preserve"> </w:t>
            </w:r>
            <w:r w:rsidRPr="00760963">
              <w:rPr>
                <w:sz w:val="28"/>
                <w:szCs w:val="28"/>
                <w:lang w:val="ro-RO"/>
              </w:rPr>
              <w:t>de asigurare.</w:t>
            </w:r>
          </w:p>
        </w:tc>
      </w:tr>
    </w:tbl>
    <w:p w14:paraId="5E7EFDE5" w14:textId="77777777" w:rsidR="00EF3E03" w:rsidRPr="007823AD" w:rsidRDefault="00EF3E03">
      <w:pPr>
        <w:rPr>
          <w:sz w:val="28"/>
          <w:szCs w:val="28"/>
        </w:rPr>
      </w:pPr>
    </w:p>
    <w:sectPr w:rsidR="00EF3E03" w:rsidRPr="007823AD">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78621" w14:textId="77777777" w:rsidR="00357E5B" w:rsidRDefault="00357E5B" w:rsidP="009578E9">
      <w:r>
        <w:separator/>
      </w:r>
    </w:p>
  </w:endnote>
  <w:endnote w:type="continuationSeparator" w:id="0">
    <w:p w14:paraId="6E6EBC6D" w14:textId="77777777" w:rsidR="00357E5B" w:rsidRDefault="00357E5B" w:rsidP="0095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0CDC" w14:textId="77777777" w:rsidR="009578E9" w:rsidRDefault="0095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A6C4" w14:textId="7EE421A2" w:rsidR="009578E9" w:rsidRDefault="009578E9" w:rsidP="0030749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39F2F" w14:textId="77777777" w:rsidR="009578E9" w:rsidRDefault="0095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3C5AE" w14:textId="77777777" w:rsidR="00357E5B" w:rsidRDefault="00357E5B" w:rsidP="009578E9">
      <w:r>
        <w:separator/>
      </w:r>
    </w:p>
  </w:footnote>
  <w:footnote w:type="continuationSeparator" w:id="0">
    <w:p w14:paraId="0C2396D0" w14:textId="77777777" w:rsidR="00357E5B" w:rsidRDefault="00357E5B" w:rsidP="0095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3192" w14:textId="77777777" w:rsidR="009578E9" w:rsidRDefault="0095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D8F12" w14:textId="640D6CDA" w:rsidR="009578E9" w:rsidRDefault="009578E9" w:rsidP="003074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8EF8" w14:textId="77777777" w:rsidR="009578E9" w:rsidRDefault="0095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D1E7C"/>
    <w:multiLevelType w:val="hybridMultilevel"/>
    <w:tmpl w:val="C548D7A4"/>
    <w:lvl w:ilvl="0" w:tplc="3C088DB0">
      <w:start w:val="1"/>
      <w:numFmt w:val="decimal"/>
      <w:lvlText w:val="%1."/>
      <w:lvlJc w:val="left"/>
      <w:pPr>
        <w:ind w:left="6031"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FD"/>
    <w:rsid w:val="00005718"/>
    <w:rsid w:val="00016F1B"/>
    <w:rsid w:val="00050348"/>
    <w:rsid w:val="0005131D"/>
    <w:rsid w:val="00060B79"/>
    <w:rsid w:val="00081C95"/>
    <w:rsid w:val="001A16D9"/>
    <w:rsid w:val="002027C0"/>
    <w:rsid w:val="00277244"/>
    <w:rsid w:val="002D02B6"/>
    <w:rsid w:val="003043E4"/>
    <w:rsid w:val="00307491"/>
    <w:rsid w:val="00314DB5"/>
    <w:rsid w:val="00357E5B"/>
    <w:rsid w:val="00376389"/>
    <w:rsid w:val="00394B38"/>
    <w:rsid w:val="003C78F3"/>
    <w:rsid w:val="00417417"/>
    <w:rsid w:val="00442E10"/>
    <w:rsid w:val="00494728"/>
    <w:rsid w:val="00525916"/>
    <w:rsid w:val="006221AA"/>
    <w:rsid w:val="006768EB"/>
    <w:rsid w:val="0068210C"/>
    <w:rsid w:val="006E1F77"/>
    <w:rsid w:val="0071370C"/>
    <w:rsid w:val="00750396"/>
    <w:rsid w:val="00760963"/>
    <w:rsid w:val="00770C11"/>
    <w:rsid w:val="007823AD"/>
    <w:rsid w:val="007B01A7"/>
    <w:rsid w:val="007E6B40"/>
    <w:rsid w:val="00852FA6"/>
    <w:rsid w:val="00854A2A"/>
    <w:rsid w:val="00890CC3"/>
    <w:rsid w:val="008B31BB"/>
    <w:rsid w:val="008F45D3"/>
    <w:rsid w:val="00911236"/>
    <w:rsid w:val="00922FBB"/>
    <w:rsid w:val="009578E9"/>
    <w:rsid w:val="009B5AD6"/>
    <w:rsid w:val="00A22ED4"/>
    <w:rsid w:val="00A32609"/>
    <w:rsid w:val="00A61C51"/>
    <w:rsid w:val="00AC2BC5"/>
    <w:rsid w:val="00AC697D"/>
    <w:rsid w:val="00AE28F1"/>
    <w:rsid w:val="00B009B4"/>
    <w:rsid w:val="00C25D9F"/>
    <w:rsid w:val="00CC3A2D"/>
    <w:rsid w:val="00D44F2D"/>
    <w:rsid w:val="00DE34FD"/>
    <w:rsid w:val="00E260BA"/>
    <w:rsid w:val="00E47EF0"/>
    <w:rsid w:val="00E74CBB"/>
    <w:rsid w:val="00E80124"/>
    <w:rsid w:val="00EF3E03"/>
    <w:rsid w:val="00EF4C1D"/>
    <w:rsid w:val="00F9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C193"/>
  <w15:chartTrackingRefBased/>
  <w15:docId w15:val="{D29984BB-0971-4BC8-8837-212EC58A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F1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16F1B"/>
    <w:pPr>
      <w:keepNext/>
      <w:keepLines/>
      <w:spacing w:before="240"/>
      <w:jc w:val="center"/>
      <w:outlineLvl w:val="0"/>
    </w:pPr>
    <w:rPr>
      <w:rFonts w:eastAsiaTheme="majorEastAsia" w:cstheme="majorBidi"/>
      <w:sz w:val="28"/>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F1B"/>
    <w:rPr>
      <w:rFonts w:ascii="Times New Roman" w:eastAsiaTheme="majorEastAsia" w:hAnsi="Times New Roman" w:cstheme="majorBidi"/>
      <w:sz w:val="28"/>
      <w:szCs w:val="32"/>
      <w:lang w:val="ro-RO"/>
    </w:rPr>
  </w:style>
  <w:style w:type="paragraph" w:styleId="ListParagraph">
    <w:name w:val="List Paragraph"/>
    <w:basedOn w:val="Normal"/>
    <w:uiPriority w:val="34"/>
    <w:qFormat/>
    <w:rsid w:val="00016F1B"/>
    <w:pPr>
      <w:ind w:left="720"/>
      <w:contextualSpacing/>
    </w:pPr>
    <w:rPr>
      <w:lang w:val="ru-RU" w:eastAsia="ru-RU"/>
    </w:rPr>
  </w:style>
  <w:style w:type="table" w:styleId="TableGrid">
    <w:name w:val="Table Grid"/>
    <w:basedOn w:val="TableNormal"/>
    <w:rsid w:val="00016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0963"/>
    <w:rPr>
      <w:sz w:val="16"/>
      <w:szCs w:val="16"/>
    </w:rPr>
  </w:style>
  <w:style w:type="paragraph" w:styleId="CommentText">
    <w:name w:val="annotation text"/>
    <w:basedOn w:val="Normal"/>
    <w:link w:val="CommentTextChar"/>
    <w:uiPriority w:val="99"/>
    <w:unhideWhenUsed/>
    <w:rsid w:val="00760963"/>
    <w:pPr>
      <w:spacing w:after="200"/>
    </w:pPr>
    <w:rPr>
      <w:rFonts w:asciiTheme="minorHAnsi" w:eastAsiaTheme="minorEastAsia" w:hAnsiTheme="minorHAnsi" w:cstheme="minorBidi"/>
      <w:sz w:val="20"/>
      <w:szCs w:val="20"/>
      <w:lang w:val="ru-RU" w:eastAsia="ru-RU"/>
    </w:rPr>
  </w:style>
  <w:style w:type="character" w:customStyle="1" w:styleId="CommentTextChar">
    <w:name w:val="Comment Text Char"/>
    <w:basedOn w:val="DefaultParagraphFont"/>
    <w:link w:val="CommentText"/>
    <w:uiPriority w:val="99"/>
    <w:rsid w:val="00760963"/>
    <w:rPr>
      <w:rFonts w:eastAsiaTheme="minorEastAsia"/>
      <w:sz w:val="20"/>
      <w:szCs w:val="20"/>
      <w:lang w:val="ru-RU" w:eastAsia="ru-RU"/>
    </w:rPr>
  </w:style>
  <w:style w:type="paragraph" w:styleId="Header">
    <w:name w:val="header"/>
    <w:basedOn w:val="Normal"/>
    <w:link w:val="HeaderChar"/>
    <w:uiPriority w:val="99"/>
    <w:unhideWhenUsed/>
    <w:rsid w:val="009578E9"/>
    <w:pPr>
      <w:tabs>
        <w:tab w:val="center" w:pos="4844"/>
        <w:tab w:val="right" w:pos="9689"/>
      </w:tabs>
    </w:pPr>
  </w:style>
  <w:style w:type="character" w:customStyle="1" w:styleId="HeaderChar">
    <w:name w:val="Header Char"/>
    <w:basedOn w:val="DefaultParagraphFont"/>
    <w:link w:val="Header"/>
    <w:uiPriority w:val="99"/>
    <w:rsid w:val="009578E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578E9"/>
    <w:pPr>
      <w:tabs>
        <w:tab w:val="center" w:pos="4844"/>
        <w:tab w:val="right" w:pos="9689"/>
      </w:tabs>
    </w:pPr>
  </w:style>
  <w:style w:type="character" w:customStyle="1" w:styleId="FooterChar">
    <w:name w:val="Footer Char"/>
    <w:basedOn w:val="DefaultParagraphFont"/>
    <w:link w:val="Footer"/>
    <w:uiPriority w:val="99"/>
    <w:rsid w:val="009578E9"/>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C2BC5"/>
    <w:pPr>
      <w:spacing w:after="0"/>
    </w:pPr>
    <w:rPr>
      <w:rFonts w:ascii="Times New Roman" w:eastAsia="Times New Roman" w:hAnsi="Times New Roman" w:cs="Times New Roman"/>
      <w:b/>
      <w:bCs/>
      <w:lang w:val="en-GB" w:eastAsia="en-US"/>
    </w:rPr>
  </w:style>
  <w:style w:type="character" w:customStyle="1" w:styleId="CommentSubjectChar">
    <w:name w:val="Comment Subject Char"/>
    <w:basedOn w:val="CommentTextChar"/>
    <w:link w:val="CommentSubject"/>
    <w:uiPriority w:val="99"/>
    <w:semiHidden/>
    <w:rsid w:val="00AC2BC5"/>
    <w:rPr>
      <w:rFonts w:ascii="Times New Roman" w:eastAsia="Times New Roman" w:hAnsi="Times New Roman" w:cs="Times New Roman"/>
      <w:b/>
      <w:bCs/>
      <w:sz w:val="20"/>
      <w:szCs w:val="20"/>
      <w:lang w:val="en-GB" w:eastAsia="ru-RU"/>
    </w:rPr>
  </w:style>
  <w:style w:type="paragraph" w:styleId="Revision">
    <w:name w:val="Revision"/>
    <w:hidden/>
    <w:uiPriority w:val="99"/>
    <w:semiHidden/>
    <w:rsid w:val="00442E10"/>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D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dcterms:created xsi:type="dcterms:W3CDTF">2023-12-04T14:20:00Z</dcterms:created>
  <dcterms:modified xsi:type="dcterms:W3CDTF">2023-12-04T14:20:00Z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c0f93943-98d3-4f6c-a6d5-719cd2d993d7</vt:lpwstr>
  </property>
  <property fmtid="{D5CDD505-2E9C-101B-9397-08002B2CF9AE}" pid="3" name="Clasificare">
    <vt:lpwstr>NONE</vt:lpwstr>
  </property>
</Properties>
</file>